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rFonts w:eastAsia="Batang"/>
          <w:b/>
          <w:sz w:val="24"/>
          <w:szCs w:val="24"/>
          <w:highlight w:val="none"/>
          <w:lang w:eastAsia="ja-JP"/>
        </w:rPr>
      </w:pPr>
      <w:r>
        <w:rPr>
          <w:rFonts w:eastAsia="Batang"/>
          <w:b/>
          <w:sz w:val="24"/>
          <w:szCs w:val="24"/>
          <w:highlight w:val="none"/>
          <w:lang w:eastAsia="ja-JP"/>
        </w:rPr>
        <w:t>3GPP TSG RAN WG1 #10</w:t>
      </w:r>
      <w:r>
        <w:rPr>
          <w:rFonts w:hint="eastAsia"/>
          <w:b/>
          <w:sz w:val="24"/>
          <w:szCs w:val="24"/>
          <w:highlight w:val="none"/>
          <w:lang w:val="en-US" w:eastAsia="zh-CN"/>
        </w:rPr>
        <w:t>7</w:t>
      </w:r>
      <w:r>
        <w:rPr>
          <w:rFonts w:eastAsia="Batang"/>
          <w:b/>
          <w:sz w:val="24"/>
          <w:szCs w:val="24"/>
          <w:highlight w:val="none"/>
          <w:lang w:eastAsia="ja-JP"/>
        </w:rPr>
        <w:t>-e</w:t>
      </w:r>
      <w:r>
        <w:rPr>
          <w:rFonts w:eastAsia="Batang"/>
          <w:b/>
          <w:sz w:val="24"/>
          <w:szCs w:val="24"/>
          <w:highlight w:val="none"/>
          <w:lang w:eastAsia="ja-JP"/>
        </w:rPr>
        <w:tab/>
      </w:r>
      <w:r>
        <w:rPr>
          <w:rFonts w:eastAsia="Batang"/>
          <w:b/>
          <w:sz w:val="24"/>
          <w:szCs w:val="24"/>
          <w:highlight w:val="none"/>
          <w:lang w:eastAsia="ja-JP"/>
        </w:rPr>
        <w:tab/>
      </w:r>
      <w:bookmarkStart w:id="0" w:name="OLE_LINK3"/>
      <w:r>
        <w:rPr>
          <w:rFonts w:eastAsia="Batang"/>
          <w:b/>
          <w:sz w:val="24"/>
          <w:szCs w:val="24"/>
          <w:highlight w:val="none"/>
          <w:lang w:eastAsia="ja-JP"/>
        </w:rPr>
        <w:t xml:space="preserve">    </w:t>
      </w:r>
      <w:r>
        <w:rPr>
          <w:rFonts w:hint="eastAsia"/>
          <w:b/>
          <w:sz w:val="24"/>
          <w:szCs w:val="24"/>
          <w:highlight w:val="none"/>
          <w:lang w:val="en-US" w:eastAsia="zh-CN"/>
        </w:rPr>
        <w:t xml:space="preserve">       </w:t>
      </w:r>
      <w:r>
        <w:rPr>
          <w:rFonts w:hint="eastAsia" w:eastAsia="Batang"/>
          <w:b/>
          <w:sz w:val="24"/>
          <w:szCs w:val="24"/>
          <w:highlight w:val="none"/>
          <w:lang w:eastAsia="ja-JP"/>
        </w:rPr>
        <w:t>R1-2</w:t>
      </w:r>
      <w:bookmarkEnd w:id="0"/>
      <w:r>
        <w:rPr>
          <w:rFonts w:hint="eastAsia" w:eastAsia="Batang"/>
          <w:b/>
          <w:sz w:val="24"/>
          <w:szCs w:val="24"/>
          <w:highlight w:val="none"/>
          <w:lang w:eastAsia="ja-JP"/>
        </w:rPr>
        <w:t>1</w:t>
      </w:r>
      <w:r>
        <w:rPr>
          <w:rFonts w:hint="eastAsia"/>
          <w:b/>
          <w:sz w:val="24"/>
          <w:szCs w:val="24"/>
          <w:highlight w:val="none"/>
          <w:lang w:val="en-US" w:eastAsia="zh-CN"/>
        </w:rPr>
        <w:t>11674</w:t>
      </w:r>
      <w:r>
        <w:rPr>
          <w:rFonts w:hint="eastAsia" w:eastAsia="Batang"/>
          <w:b/>
          <w:sz w:val="24"/>
          <w:szCs w:val="24"/>
          <w:highlight w:val="none"/>
          <w:lang w:eastAsia="ja-JP"/>
        </w:rPr>
        <w:t xml:space="preserve"> </w:t>
      </w:r>
    </w:p>
    <w:p>
      <w:pPr>
        <w:tabs>
          <w:tab w:val="center" w:pos="4536"/>
          <w:tab w:val="right" w:pos="9072"/>
        </w:tabs>
        <w:rPr>
          <w:b/>
          <w:sz w:val="22"/>
          <w:szCs w:val="22"/>
          <w:highlight w:val="none"/>
        </w:rPr>
      </w:pPr>
      <w:r>
        <w:rPr>
          <w:rFonts w:eastAsia="Batang"/>
          <w:b/>
          <w:sz w:val="24"/>
          <w:szCs w:val="24"/>
          <w:highlight w:val="none"/>
          <w:lang w:eastAsia="ja-JP"/>
        </w:rPr>
        <w:t xml:space="preserve">e-Meeting, </w:t>
      </w:r>
      <w:r>
        <w:rPr>
          <w:rFonts w:ascii="Times New Roman" w:hAnsi="Times New Roman" w:eastAsia="Batang" w:cs="Times New Roman"/>
          <w:b/>
          <w:bCs w:val="0"/>
          <w:sz w:val="24"/>
          <w:szCs w:val="24"/>
          <w:highlight w:val="none"/>
          <w:lang w:eastAsia="ja-JP"/>
        </w:rPr>
        <w:t>November 11</w:t>
      </w:r>
      <w:r>
        <w:rPr>
          <w:rFonts w:ascii="Times New Roman" w:hAnsi="Times New Roman" w:eastAsia="Batang" w:cs="Times New Roman"/>
          <w:b/>
          <w:bCs w:val="0"/>
          <w:sz w:val="24"/>
          <w:szCs w:val="24"/>
          <w:highlight w:val="none"/>
          <w:vertAlign w:val="superscript"/>
          <w:lang w:eastAsia="ja-JP"/>
        </w:rPr>
        <w:t>th</w:t>
      </w:r>
      <w:r>
        <w:rPr>
          <w:rFonts w:ascii="Times New Roman" w:hAnsi="Times New Roman" w:eastAsia="Batang" w:cs="Times New Roman"/>
          <w:b/>
          <w:bCs w:val="0"/>
          <w:sz w:val="24"/>
          <w:szCs w:val="24"/>
          <w:highlight w:val="none"/>
          <w:lang w:eastAsia="ja-JP"/>
        </w:rPr>
        <w:t xml:space="preserve"> – 19</w:t>
      </w:r>
      <w:r>
        <w:rPr>
          <w:rFonts w:ascii="Times New Roman" w:hAnsi="Times New Roman" w:eastAsia="Batang" w:cs="Times New Roman"/>
          <w:b/>
          <w:bCs w:val="0"/>
          <w:sz w:val="24"/>
          <w:szCs w:val="24"/>
          <w:highlight w:val="none"/>
          <w:vertAlign w:val="superscript"/>
          <w:lang w:eastAsia="ja-JP"/>
        </w:rPr>
        <w:t>th</w:t>
      </w:r>
      <w:r>
        <w:rPr>
          <w:rFonts w:ascii="Times New Roman" w:hAnsi="Times New Roman" w:eastAsia="Batang" w:cs="Times New Roman"/>
          <w:b/>
          <w:bCs w:val="0"/>
          <w:sz w:val="24"/>
          <w:szCs w:val="24"/>
          <w:highlight w:val="none"/>
          <w:lang w:eastAsia="ja-JP"/>
        </w:rPr>
        <w:t>, 2021</w:t>
      </w:r>
      <w:r>
        <w:rPr>
          <w:b/>
          <w:sz w:val="22"/>
          <w:szCs w:val="22"/>
          <w:highlight w:val="none"/>
        </w:rPr>
        <w:tab/>
      </w:r>
    </w:p>
    <w:p>
      <w:pPr>
        <w:tabs>
          <w:tab w:val="left" w:pos="1985"/>
        </w:tabs>
        <w:spacing w:before="120" w:after="120" w:line="240" w:lineRule="auto"/>
        <w:ind w:left="1980" w:hanging="1980"/>
        <w:rPr>
          <w:rFonts w:hint="default" w:eastAsia="宋体"/>
          <w:b/>
          <w:sz w:val="22"/>
          <w:szCs w:val="22"/>
          <w:highlight w:val="none"/>
          <w:lang w:val="en-US" w:eastAsia="zh-CN"/>
        </w:rPr>
      </w:pPr>
      <w:r>
        <w:rPr>
          <w:b/>
          <w:sz w:val="22"/>
          <w:szCs w:val="22"/>
          <w:highlight w:val="none"/>
        </w:rPr>
        <w:t xml:space="preserve">Source: </w:t>
      </w:r>
      <w:r>
        <w:rPr>
          <w:b/>
          <w:sz w:val="22"/>
          <w:szCs w:val="22"/>
          <w:highlight w:val="none"/>
        </w:rPr>
        <w:tab/>
      </w:r>
      <w:r>
        <w:rPr>
          <w:rFonts w:hint="eastAsia"/>
          <w:b/>
          <w:sz w:val="22"/>
          <w:szCs w:val="22"/>
          <w:highlight w:val="none"/>
          <w:lang w:val="en-US" w:eastAsia="zh-CN"/>
        </w:rPr>
        <w:t>Transsion Holdings</w:t>
      </w:r>
    </w:p>
    <w:p>
      <w:pPr>
        <w:tabs>
          <w:tab w:val="left" w:pos="1985"/>
        </w:tabs>
        <w:spacing w:before="120" w:after="120" w:line="240" w:lineRule="auto"/>
        <w:ind w:left="1980" w:hanging="1980"/>
        <w:rPr>
          <w:rFonts w:hint="default"/>
          <w:b/>
          <w:sz w:val="22"/>
          <w:szCs w:val="22"/>
          <w:highlight w:val="none"/>
          <w:lang w:val="en-US"/>
        </w:rPr>
      </w:pPr>
      <w:r>
        <w:rPr>
          <w:b/>
          <w:sz w:val="22"/>
          <w:szCs w:val="22"/>
          <w:highlight w:val="none"/>
        </w:rPr>
        <w:t>Title:</w:t>
      </w:r>
      <w:r>
        <w:rPr>
          <w:b/>
          <w:sz w:val="22"/>
          <w:szCs w:val="22"/>
          <w:highlight w:val="none"/>
        </w:rPr>
        <w:tab/>
      </w:r>
      <w:r>
        <w:rPr>
          <w:b/>
          <w:sz w:val="22"/>
          <w:szCs w:val="22"/>
          <w:highlight w:val="none"/>
        </w:rPr>
        <w:t>Discussion on</w:t>
      </w:r>
      <w:r>
        <w:rPr>
          <w:rFonts w:hint="eastAsia"/>
          <w:b/>
          <w:sz w:val="22"/>
          <w:szCs w:val="22"/>
          <w:highlight w:val="none"/>
          <w:lang w:val="en-US" w:eastAsia="zh-CN"/>
        </w:rPr>
        <w:t xml:space="preserve"> PEI design</w:t>
      </w:r>
    </w:p>
    <w:p>
      <w:pPr>
        <w:tabs>
          <w:tab w:val="left" w:pos="1985"/>
        </w:tabs>
        <w:spacing w:before="120" w:after="120" w:line="240" w:lineRule="auto"/>
        <w:rPr>
          <w:b/>
          <w:sz w:val="22"/>
          <w:szCs w:val="22"/>
          <w:highlight w:val="none"/>
        </w:rPr>
      </w:pPr>
      <w:r>
        <w:rPr>
          <w:b/>
          <w:sz w:val="22"/>
          <w:szCs w:val="22"/>
          <w:highlight w:val="none"/>
          <w:lang w:val="pt-BR"/>
        </w:rPr>
        <w:t>Agenda item:</w:t>
      </w:r>
      <w:r>
        <w:rPr>
          <w:b/>
          <w:sz w:val="22"/>
          <w:szCs w:val="22"/>
          <w:highlight w:val="none"/>
          <w:lang w:val="pt-BR"/>
        </w:rPr>
        <w:tab/>
      </w:r>
      <w:r>
        <w:rPr>
          <w:b/>
          <w:sz w:val="22"/>
          <w:szCs w:val="22"/>
          <w:highlight w:val="none"/>
          <w:lang w:val="pt-BR"/>
        </w:rPr>
        <w:t>8</w:t>
      </w:r>
      <w:r>
        <w:rPr>
          <w:rFonts w:hint="eastAsia"/>
          <w:b/>
          <w:sz w:val="22"/>
          <w:szCs w:val="22"/>
          <w:highlight w:val="none"/>
          <w:lang w:val="pt-BR" w:eastAsia="zh-CN"/>
        </w:rPr>
        <w:t>.</w:t>
      </w:r>
      <w:r>
        <w:rPr>
          <w:b/>
          <w:sz w:val="22"/>
          <w:szCs w:val="22"/>
          <w:highlight w:val="none"/>
          <w:lang w:val="pt-BR"/>
        </w:rPr>
        <w:t>7</w:t>
      </w:r>
      <w:r>
        <w:rPr>
          <w:rFonts w:hint="eastAsia"/>
          <w:b/>
          <w:sz w:val="22"/>
          <w:szCs w:val="22"/>
          <w:highlight w:val="none"/>
          <w:lang w:val="pt-BR" w:eastAsia="zh-CN"/>
        </w:rPr>
        <w:t>.</w:t>
      </w:r>
      <w:r>
        <w:rPr>
          <w:b/>
          <w:sz w:val="22"/>
          <w:szCs w:val="22"/>
          <w:highlight w:val="none"/>
          <w:lang w:val="pt-BR"/>
        </w:rPr>
        <w:t>1</w:t>
      </w:r>
      <w:r>
        <w:rPr>
          <w:rFonts w:hint="eastAsia"/>
          <w:b/>
          <w:sz w:val="22"/>
          <w:szCs w:val="22"/>
          <w:highlight w:val="none"/>
          <w:lang w:val="pt-BR" w:eastAsia="zh-CN"/>
        </w:rPr>
        <w:t>.</w:t>
      </w:r>
      <w:r>
        <w:rPr>
          <w:b/>
          <w:sz w:val="22"/>
          <w:szCs w:val="22"/>
          <w:highlight w:val="none"/>
          <w:lang w:val="pt-BR"/>
        </w:rPr>
        <w:t>1</w:t>
      </w:r>
    </w:p>
    <w:p>
      <w:pPr>
        <w:tabs>
          <w:tab w:val="left" w:pos="1985"/>
        </w:tabs>
        <w:spacing w:before="120" w:after="120" w:line="240" w:lineRule="auto"/>
        <w:ind w:left="1980" w:hanging="1980"/>
        <w:rPr>
          <w:b/>
          <w:sz w:val="22"/>
          <w:szCs w:val="22"/>
          <w:highlight w:val="none"/>
          <w:lang w:val="pt-BR"/>
        </w:rPr>
      </w:pPr>
      <w:r>
        <w:rPr>
          <w:b/>
          <w:sz w:val="22"/>
          <w:szCs w:val="22"/>
          <w:highlight w:val="none"/>
          <w:lang w:val="pt-BR"/>
        </w:rPr>
        <w:t>Document for:</w:t>
      </w:r>
      <w:r>
        <w:rPr>
          <w:b/>
          <w:sz w:val="22"/>
          <w:szCs w:val="22"/>
          <w:highlight w:val="none"/>
          <w:lang w:val="pt-BR"/>
        </w:rPr>
        <w:tab/>
      </w:r>
      <w:r>
        <w:rPr>
          <w:b/>
          <w:sz w:val="22"/>
          <w:szCs w:val="22"/>
          <w:highlight w:val="none"/>
        </w:rPr>
        <w:t>Discussion and decision</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Introduction</w:t>
      </w:r>
    </w:p>
    <w:p>
      <w:pPr>
        <w:spacing w:before="120" w:after="120"/>
        <w:rPr>
          <w:rFonts w:hint="eastAsia" w:ascii="Times New Roman" w:hAnsi="Times New Roman" w:cs="Times New Roman"/>
          <w:szCs w:val="22"/>
        </w:rPr>
      </w:pPr>
      <w:r>
        <w:rPr>
          <w:rFonts w:hint="eastAsia" w:ascii="Times New Roman" w:hAnsi="Times New Roman" w:cs="Times New Roman"/>
          <w:szCs w:val="22"/>
        </w:rPr>
        <w:t>In RAN</w:t>
      </w:r>
      <w:r>
        <w:rPr>
          <w:rFonts w:hint="eastAsia" w:cs="Times New Roman"/>
          <w:szCs w:val="22"/>
          <w:lang w:val="en-US" w:eastAsia="zh-CN"/>
        </w:rPr>
        <w:t>1</w:t>
      </w:r>
      <w:r>
        <w:rPr>
          <w:rFonts w:hint="eastAsia" w:ascii="Times New Roman" w:hAnsi="Times New Roman" w:cs="Times New Roman"/>
          <w:szCs w:val="22"/>
        </w:rPr>
        <w:t>#</w:t>
      </w:r>
      <w:r>
        <w:rPr>
          <w:rFonts w:hint="eastAsia" w:cs="Times New Roman"/>
          <w:szCs w:val="22"/>
          <w:lang w:val="en-US" w:eastAsia="zh-CN"/>
        </w:rPr>
        <w:t>106bis-</w:t>
      </w:r>
      <w:r>
        <w:rPr>
          <w:rFonts w:hint="eastAsia" w:ascii="Times New Roman" w:hAnsi="Times New Roman" w:cs="Times New Roman"/>
          <w:szCs w:val="22"/>
        </w:rPr>
        <w:t>e</w:t>
      </w:r>
      <w:r>
        <w:rPr>
          <w:rFonts w:hint="eastAsia" w:ascii="Times New Roman" w:hAnsi="Times New Roman" w:cs="Times New Roman"/>
          <w:szCs w:val="22"/>
          <w:lang w:eastAsia="zh-CN"/>
        </w:rPr>
        <w:t xml:space="preserve">, </w:t>
      </w:r>
      <w:r>
        <w:rPr>
          <w:rFonts w:hint="eastAsia" w:ascii="Times New Roman" w:hAnsi="Times New Roman" w:cs="Times New Roman"/>
          <w:szCs w:val="22"/>
        </w:rPr>
        <w:t xml:space="preserve">some </w:t>
      </w:r>
      <w:r>
        <w:rPr>
          <w:rFonts w:hint="eastAsia" w:cs="Times New Roman"/>
          <w:szCs w:val="22"/>
          <w:lang w:val="en-US" w:eastAsia="zh-CN"/>
        </w:rPr>
        <w:t xml:space="preserve">conclusion </w:t>
      </w:r>
      <w:r>
        <w:rPr>
          <w:rFonts w:hint="eastAsia" w:ascii="Times New Roman" w:hAnsi="Times New Roman" w:cs="Times New Roman"/>
          <w:szCs w:val="22"/>
        </w:rPr>
        <w:t>on paging enhancements were reached [1]</w:t>
      </w:r>
      <w:r>
        <w:rPr>
          <w:rFonts w:hint="eastAsia" w:ascii="Times New Roman" w:hAnsi="Times New Roman" w:cs="Times New Roman"/>
          <w:szCs w:val="22"/>
          <w:lang w:eastAsia="zh-CN"/>
        </w:rPr>
        <w:t xml:space="preserve">. </w:t>
      </w:r>
      <w:r>
        <w:rPr>
          <w:rFonts w:hint="eastAsia" w:ascii="Times New Roman" w:hAnsi="Times New Roman" w:cs="Times New Roman"/>
          <w:szCs w:val="22"/>
        </w:rPr>
        <w:t xml:space="preserve">  </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sz w:val="22"/>
                <w:szCs w:val="22"/>
                <w:highlight w:val="green"/>
                <w:lang w:eastAsia="zh-CN"/>
              </w:rPr>
            </w:pPr>
            <w:r>
              <w:rPr>
                <w:sz w:val="22"/>
                <w:szCs w:val="22"/>
                <w:highlight w:val="green"/>
                <w:lang w:eastAsia="zh-CN"/>
              </w:rPr>
              <w:t>Agreement</w:t>
            </w:r>
          </w:p>
          <w:p>
            <w:pPr>
              <w:rPr>
                <w:sz w:val="22"/>
                <w:szCs w:val="22"/>
                <w:lang w:eastAsia="zh-CN"/>
              </w:rPr>
            </w:pPr>
            <w:r>
              <w:rPr>
                <w:sz w:val="22"/>
                <w:szCs w:val="22"/>
                <w:lang w:eastAsia="zh-CN"/>
              </w:rPr>
              <w:t>For NR Rel-17, paging indications to UE subgroups are carried only in PEI.</w:t>
            </w:r>
          </w:p>
          <w:p>
            <w:pPr>
              <w:rPr>
                <w:rFonts w:ascii="Times New Roman" w:hAnsi="Times New Roman"/>
                <w:szCs w:val="20"/>
                <w:lang w:eastAsia="en-GB"/>
              </w:rPr>
            </w:pPr>
            <w:r>
              <w:rPr>
                <w:rFonts w:ascii="Times New Roman" w:hAnsi="Times New Roman"/>
                <w:szCs w:val="20"/>
                <w:shd w:val="clear" w:color="auto" w:fill="00FF00"/>
              </w:rPr>
              <w:t>Agreement </w:t>
            </w:r>
            <w:bookmarkStart w:id="8" w:name="_GoBack"/>
            <w:bookmarkEnd w:id="8"/>
          </w:p>
          <w:p>
            <w:pPr>
              <w:rPr>
                <w:rFonts w:ascii="Times New Roman" w:hAnsi="Times New Roman"/>
                <w:szCs w:val="20"/>
              </w:rPr>
            </w:pPr>
            <w:r>
              <w:rPr>
                <w:rFonts w:ascii="Times New Roman" w:hAnsi="Times New Roman"/>
                <w:szCs w:val="20"/>
              </w:rPr>
              <w:t xml:space="preserve">CORESET # 0 or </w:t>
            </w:r>
            <w:r>
              <w:rPr>
                <w:rFonts w:ascii="Times New Roman" w:hAnsi="Times New Roman"/>
                <w:i/>
                <w:iCs/>
                <w:szCs w:val="20"/>
              </w:rPr>
              <w:t>commonControlResourceSet</w:t>
            </w:r>
            <w:r>
              <w:rPr>
                <w:rFonts w:ascii="Times New Roman" w:hAnsi="Times New Roman"/>
                <w:szCs w:val="20"/>
              </w:rPr>
              <w:t> in SIB1 can be used for PEI</w:t>
            </w:r>
          </w:p>
          <w:p>
            <w:pPr>
              <w:pStyle w:val="36"/>
              <w:numPr>
                <w:ilvl w:val="0"/>
                <w:numId w:val="8"/>
              </w:numPr>
              <w:rPr>
                <w:sz w:val="22"/>
                <w:szCs w:val="22"/>
                <w:lang w:eastAsia="zh-CN"/>
              </w:rPr>
            </w:pPr>
            <w:r>
              <w:rPr>
                <w:rFonts w:eastAsia="Microsoft YaHei UI"/>
              </w:rPr>
              <w:t>Note: The number of CORESETs configured for a UE follows the requirement of UE feature 3-1</w:t>
            </w:r>
          </w:p>
        </w:tc>
      </w:tr>
    </w:tbl>
    <w:p>
      <w:pPr>
        <w:spacing w:before="120" w:after="120"/>
        <w:rPr>
          <w:rFonts w:hint="eastAsia" w:ascii="Times New Roman" w:hAnsi="Times New Roman" w:cs="Times New Roman"/>
          <w:szCs w:val="22"/>
          <w:lang w:eastAsia="zh-CN"/>
        </w:rPr>
      </w:pPr>
      <w:r>
        <w:rPr>
          <w:rFonts w:hint="eastAsia" w:ascii="Times New Roman" w:hAnsi="Times New Roman" w:cs="Times New Roman"/>
          <w:szCs w:val="22"/>
        </w:rPr>
        <w:t>In this contribution</w:t>
      </w:r>
      <w:r>
        <w:rPr>
          <w:rFonts w:hint="eastAsia" w:ascii="Times New Roman" w:hAnsi="Times New Roman" w:cs="Times New Roman"/>
          <w:szCs w:val="22"/>
          <w:lang w:eastAsia="zh-CN"/>
        </w:rPr>
        <w:t xml:space="preserve">, </w:t>
      </w:r>
      <w:r>
        <w:rPr>
          <w:rFonts w:hint="eastAsia" w:ascii="Times New Roman" w:hAnsi="Times New Roman" w:cs="Times New Roman"/>
          <w:szCs w:val="22"/>
          <w:lang w:val="en-US" w:eastAsia="zh-CN"/>
        </w:rPr>
        <w:t>we will</w:t>
      </w:r>
      <w:r>
        <w:rPr>
          <w:rFonts w:ascii="Times New Roman" w:hAnsi="Times New Roman" w:cs="Times New Roman"/>
          <w:szCs w:val="22"/>
        </w:rPr>
        <w:t xml:space="preserve"> </w:t>
      </w:r>
      <w:r>
        <w:rPr>
          <w:rFonts w:hint="eastAsia" w:cs="Times New Roman"/>
          <w:szCs w:val="22"/>
          <w:lang w:val="en-US" w:eastAsia="zh-CN"/>
        </w:rPr>
        <w:t>provide our views on the design of PDCCH-based PEI</w:t>
      </w:r>
      <w:r>
        <w:rPr>
          <w:rFonts w:hint="eastAsia" w:ascii="Times New Roman" w:hAnsi="Times New Roman" w:cs="Times New Roman"/>
          <w:szCs w:val="22"/>
          <w:lang w:eastAsia="zh-CN"/>
        </w:rPr>
        <w:t xml:space="preserve">. </w:t>
      </w:r>
    </w:p>
    <w:p>
      <w:pPr>
        <w:pStyle w:val="2"/>
        <w:spacing w:before="120" w:after="120"/>
        <w:ind w:left="0"/>
        <w:rPr>
          <w:rFonts w:ascii="Times New Roman" w:hAnsi="Times New Roman"/>
          <w:b/>
          <w:sz w:val="24"/>
          <w:szCs w:val="24"/>
          <w:highlight w:val="none"/>
        </w:rPr>
      </w:pPr>
      <w:r>
        <w:rPr>
          <w:rFonts w:ascii="Times New Roman" w:hAnsi="Times New Roman"/>
          <w:b/>
          <w:sz w:val="24"/>
          <w:szCs w:val="24"/>
          <w:highlight w:val="none"/>
        </w:rPr>
        <w:t>D</w:t>
      </w:r>
      <w:r>
        <w:rPr>
          <w:rFonts w:hint="eastAsia" w:ascii="Times New Roman" w:hAnsi="Times New Roman"/>
          <w:b/>
          <w:sz w:val="24"/>
          <w:szCs w:val="24"/>
          <w:highlight w:val="none"/>
          <w:lang w:val="en-US" w:eastAsia="zh-CN"/>
        </w:rPr>
        <w:t xml:space="preserve">esign of </w:t>
      </w:r>
      <w:r>
        <w:rPr>
          <w:rFonts w:ascii="Times New Roman" w:hAnsi="Times New Roman"/>
          <w:b/>
          <w:sz w:val="24"/>
          <w:szCs w:val="24"/>
          <w:highlight w:val="none"/>
        </w:rPr>
        <w:t>PDCCH-based PEI</w:t>
      </w:r>
    </w:p>
    <w:p>
      <w:pPr>
        <w:pStyle w:val="4"/>
        <w:spacing w:before="120" w:after="120"/>
        <w:ind w:left="782" w:right="210" w:hanging="782" w:hangingChars="354"/>
        <w:rPr>
          <w:rFonts w:ascii="Times New Roman" w:hAnsi="Times New Roman"/>
          <w:b/>
          <w:bCs/>
          <w:sz w:val="22"/>
          <w:szCs w:val="22"/>
          <w:highlight w:val="none"/>
        </w:rPr>
      </w:pPr>
      <w:r>
        <w:rPr>
          <w:rFonts w:hint="eastAsia" w:ascii="Times New Roman" w:hAnsi="Times New Roman" w:eastAsia="宋体"/>
          <w:b/>
          <w:bCs/>
          <w:sz w:val="22"/>
          <w:szCs w:val="22"/>
          <w:highlight w:val="none"/>
          <w:lang w:val="en-US" w:eastAsia="zh-CN"/>
        </w:rPr>
        <w:t>DCI format</w:t>
      </w:r>
    </w:p>
    <w:p>
      <w:pPr>
        <w:rPr>
          <w:rFonts w:hint="eastAsia"/>
          <w:lang w:val="en-US" w:eastAsia="zh-CN"/>
        </w:rPr>
      </w:pPr>
      <w:r>
        <w:rPr>
          <w:rFonts w:hint="eastAsia"/>
          <w:lang w:val="en-US" w:eastAsia="zh-CN"/>
        </w:rPr>
        <w:t>In RAN1#106bis-e [1], companies have made the following agreement,</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rPr>
                <w:sz w:val="22"/>
                <w:szCs w:val="22"/>
                <w:highlight w:val="green"/>
                <w:lang w:eastAsia="ko-KR"/>
              </w:rPr>
            </w:pPr>
            <w:r>
              <w:rPr>
                <w:color w:val="000000"/>
                <w:sz w:val="22"/>
                <w:szCs w:val="22"/>
                <w:highlight w:val="green"/>
                <w:shd w:val="clear" w:color="auto" w:fill="FFFF00"/>
                <w:lang w:eastAsia="ko-KR"/>
              </w:rPr>
              <w:t xml:space="preserve">Agreement </w:t>
            </w:r>
          </w:p>
          <w:p>
            <w:pPr>
              <w:widowControl w:val="0"/>
              <w:rPr>
                <w:sz w:val="22"/>
                <w:szCs w:val="22"/>
                <w:lang w:eastAsia="ko-KR"/>
              </w:rPr>
            </w:pPr>
            <w:r>
              <w:rPr>
                <w:sz w:val="22"/>
                <w:szCs w:val="22"/>
                <w:lang w:eastAsia="ko-KR"/>
              </w:rPr>
              <w:t>For PEI, a new DCI format is supported to include at least paging indications to UE group(s)/subgroups of the associated PO(s)</w:t>
            </w:r>
          </w:p>
          <w:p>
            <w:pPr>
              <w:widowControl w:val="0"/>
              <w:numPr>
                <w:ilvl w:val="0"/>
                <w:numId w:val="9"/>
              </w:numPr>
              <w:rPr>
                <w:sz w:val="22"/>
                <w:szCs w:val="22"/>
                <w:lang w:eastAsia="ko-KR"/>
              </w:rPr>
            </w:pPr>
            <w:r>
              <w:rPr>
                <w:sz w:val="22"/>
                <w:szCs w:val="22"/>
                <w:lang w:eastAsia="ko-KR"/>
              </w:rPr>
              <w:t>One bit in the DCI payload indicating one UE subgroup of a PO or one UE group/PO</w:t>
            </w:r>
          </w:p>
          <w:p>
            <w:pPr>
              <w:widowControl w:val="0"/>
              <w:numPr>
                <w:ilvl w:val="0"/>
                <w:numId w:val="9"/>
              </w:numPr>
              <w:rPr>
                <w:sz w:val="22"/>
                <w:szCs w:val="22"/>
                <w:lang w:eastAsia="ko-KR"/>
              </w:rPr>
            </w:pPr>
            <w:r>
              <w:rPr>
                <w:sz w:val="22"/>
                <w:szCs w:val="22"/>
                <w:lang w:eastAsia="ko-KR"/>
              </w:rPr>
              <w:t xml:space="preserve">The maximum number of total bits for paging indication field in PEI DCI format is </w:t>
            </w:r>
            <w:r>
              <w:rPr>
                <w:sz w:val="22"/>
                <w:szCs w:val="22"/>
                <w:lang w:eastAsia="zh-CN"/>
              </w:rPr>
              <w:t xml:space="preserve">x </w:t>
            </w:r>
          </w:p>
          <w:p>
            <w:pPr>
              <w:widowControl w:val="0"/>
              <w:numPr>
                <w:ilvl w:val="1"/>
                <w:numId w:val="9"/>
              </w:numPr>
              <w:rPr>
                <w:sz w:val="22"/>
                <w:szCs w:val="22"/>
                <w:lang w:eastAsia="ko-KR"/>
              </w:rPr>
            </w:pPr>
            <w:r>
              <w:rPr>
                <w:sz w:val="22"/>
                <w:szCs w:val="22"/>
                <w:lang w:eastAsia="ko-KR"/>
              </w:rPr>
              <w:t>One PEI can be configured to indicate up to 4 PO(s) in a PF</w:t>
            </w:r>
          </w:p>
          <w:p>
            <w:pPr>
              <w:widowControl w:val="0"/>
              <w:numPr>
                <w:ilvl w:val="2"/>
                <w:numId w:val="9"/>
              </w:numPr>
              <w:rPr>
                <w:sz w:val="22"/>
                <w:szCs w:val="22"/>
                <w:lang w:eastAsia="ko-KR"/>
              </w:rPr>
            </w:pPr>
            <w:r>
              <w:rPr>
                <w:rFonts w:eastAsia="等线"/>
                <w:sz w:val="22"/>
                <w:szCs w:val="22"/>
                <w:lang w:eastAsia="zh-CN"/>
              </w:rPr>
              <w:t>FFS whether to supporting map PEI to 3 POs in a PF</w:t>
            </w:r>
          </w:p>
          <w:p>
            <w:pPr>
              <w:widowControl w:val="0"/>
              <w:numPr>
                <w:ilvl w:val="1"/>
                <w:numId w:val="9"/>
              </w:numPr>
              <w:rPr>
                <w:sz w:val="22"/>
                <w:szCs w:val="22"/>
                <w:lang w:eastAsia="ko-KR"/>
              </w:rPr>
            </w:pPr>
            <w:r>
              <w:rPr>
                <w:sz w:val="22"/>
                <w:szCs w:val="22"/>
                <w:lang w:eastAsia="ko-KR"/>
              </w:rPr>
              <w:t>FFS: 1 PEI for POs across multiple PFs</w:t>
            </w:r>
          </w:p>
          <w:p>
            <w:pPr>
              <w:widowControl w:val="0"/>
              <w:numPr>
                <w:ilvl w:val="1"/>
                <w:numId w:val="9"/>
              </w:numPr>
              <w:rPr>
                <w:szCs w:val="20"/>
              </w:rPr>
            </w:pPr>
            <w:r>
              <w:rPr>
                <w:rFonts w:hint="eastAsia" w:eastAsia="等线"/>
                <w:sz w:val="22"/>
                <w:szCs w:val="22"/>
                <w:lang w:eastAsia="zh-CN"/>
              </w:rPr>
              <w:t>F</w:t>
            </w:r>
            <w:r>
              <w:rPr>
                <w:rFonts w:eastAsia="等线"/>
                <w:sz w:val="22"/>
                <w:szCs w:val="22"/>
                <w:lang w:eastAsia="zh-CN"/>
              </w:rPr>
              <w:t>FS: value of x</w:t>
            </w:r>
          </w:p>
        </w:tc>
      </w:tr>
    </w:tbl>
    <w:p>
      <w:pPr>
        <w:spacing w:before="120" w:after="120"/>
        <w:rPr>
          <w:rFonts w:hint="eastAsia"/>
          <w:lang w:val="en-US" w:eastAsia="zh-CN"/>
        </w:rPr>
      </w:pPr>
      <w:r>
        <w:rPr>
          <w:rFonts w:hint="eastAsia"/>
          <w:lang w:val="en-US" w:eastAsia="zh-CN"/>
        </w:rPr>
        <w:t>According to TS38.304, a PF includes Ns POs, and the possible values of Ns are 1, 2, or 4. If PEI is PO-specific, the network will have to send Ns individual PEIs per radio frame, which will increase the overhead of network side and increase the probability of collision between PEI and other PDCCH transmissions. Therefore, it is recommended that one PEI can be associated with multiple POs.</w:t>
      </w:r>
    </w:p>
    <w:p>
      <w:pPr>
        <w:spacing w:before="120" w:after="120"/>
        <w:rPr>
          <w:rFonts w:hint="eastAsia"/>
          <w:lang w:val="en-US" w:eastAsia="zh-CN"/>
        </w:rPr>
      </w:pPr>
      <w:r>
        <w:rPr>
          <w:rFonts w:hint="eastAsia"/>
          <w:lang w:val="en-US" w:eastAsia="zh-CN"/>
        </w:rPr>
        <w:t>Since in most deployment scenarios, the paging occasion (Ns) in a paging frame is equal to 1, the design of the PEI associated with Ns POs will result in a large number of padding bits in the DCI format. Therefore, we prefer to the design of one PEI associated with N POs instead of Ns POs. The value of N can be the multiple of Ns. What's more, N can be configured by SIB. Multiple POs which is corresponding to one PEI can be within a single PF or across multiple PFs.</w:t>
      </w:r>
    </w:p>
    <w:p>
      <w:pPr>
        <w:pStyle w:val="36"/>
        <w:numPr>
          <w:ilvl w:val="0"/>
          <w:numId w:val="10"/>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One PEI associated with N POs and N can be the multiple of Ns.</w:t>
      </w:r>
    </w:p>
    <w:p>
      <w:pPr>
        <w:spacing w:before="120" w:after="120"/>
        <w:rPr>
          <w:rFonts w:hint="eastAsia"/>
          <w:lang w:val="en-US" w:eastAsia="zh-CN"/>
        </w:rPr>
      </w:pPr>
      <w:r>
        <w:rPr>
          <w:rFonts w:hint="eastAsia"/>
          <w:lang w:val="en-US" w:eastAsia="zh-CN"/>
        </w:rPr>
        <w:t>Regarding the DCI size, considering that the maximum number of sub-groups is 8, we prefer the DCI size to be a multiple of 8. If the DCI indicates a maximum of 4 POs, the maximum DCI size is 32 bits. If the PEI can also include 3 bits to provide "systemInfoModification", "etwsAndCmasIndication" and TRS L1 availability indication, the maximum number of DCI bits is 35 bits.</w:t>
      </w:r>
    </w:p>
    <w:p>
      <w:pPr>
        <w:pStyle w:val="36"/>
        <w:numPr>
          <w:ilvl w:val="0"/>
          <w:numId w:val="10"/>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ko-KR"/>
        </w:rPr>
        <w:t>The maximum number of total bits in PEI DCI format</w:t>
      </w:r>
      <w:r>
        <w:rPr>
          <w:rFonts w:hint="eastAsia" w:eastAsia="宋体" w:cs="Times New Roman"/>
          <w:b/>
          <w:i/>
          <w:highlight w:val="none"/>
          <w:lang w:val="en-US" w:eastAsia="zh-CN"/>
        </w:rPr>
        <w:t xml:space="preserve"> is 35 bit</w:t>
      </w:r>
      <w:r>
        <w:rPr>
          <w:rFonts w:hint="eastAsia" w:cs="Times New Roman"/>
          <w:b/>
          <w:i/>
          <w:highlight w:val="none"/>
          <w:lang w:val="en-US" w:eastAsia="zh-CN"/>
        </w:rPr>
        <w:t>.</w:t>
      </w:r>
    </w:p>
    <w:p>
      <w:pPr>
        <w:spacing w:before="120" w:after="120"/>
        <w:rPr>
          <w:rFonts w:hint="eastAsia"/>
          <w:lang w:val="en-US" w:eastAsia="zh-CN"/>
        </w:rPr>
      </w:pPr>
      <w:r>
        <w:rPr>
          <w:rFonts w:hint="eastAsia"/>
          <w:lang w:val="en-US" w:eastAsia="zh-CN"/>
        </w:rPr>
        <w:t>For RNTI, if the DCI size is always different from DCI format 1_0, the P-RNTI can be reused, otherwise the new RNTI value can be introduced.</w:t>
      </w:r>
    </w:p>
    <w:p>
      <w:pPr>
        <w:pStyle w:val="36"/>
        <w:numPr>
          <w:ilvl w:val="0"/>
          <w:numId w:val="10"/>
        </w:numPr>
        <w:ind w:firstLineChars="0"/>
        <w:rPr>
          <w:rFonts w:hint="eastAsia" w:ascii="Times New Roman" w:hAnsi="Times New Roman" w:eastAsia="Times New Roman" w:cs="Times New Roman"/>
          <w:b/>
          <w:i/>
          <w:highlight w:val="none"/>
          <w:lang w:val="en-US" w:eastAsia="zh-CN"/>
        </w:rPr>
      </w:pPr>
      <w:bookmarkStart w:id="1" w:name="_Ref9377"/>
      <w:bookmarkStart w:id="2" w:name="OLE_LINK1"/>
      <w:r>
        <w:rPr>
          <w:rFonts w:hint="eastAsia" w:cs="Times New Roman"/>
          <w:b/>
          <w:i/>
          <w:highlight w:val="none"/>
          <w:lang w:val="en-US" w:eastAsia="zh-CN"/>
        </w:rPr>
        <w:t>P-RNTI should be supported.</w:t>
      </w:r>
      <w:bookmarkEnd w:id="1"/>
    </w:p>
    <w:bookmarkEnd w:id="2"/>
    <w:p>
      <w:pPr>
        <w:pStyle w:val="4"/>
        <w:spacing w:before="120" w:after="120"/>
        <w:ind w:left="782" w:right="210" w:hanging="782" w:hangingChars="354"/>
        <w:rPr>
          <w:rFonts w:hint="eastAsia" w:cs="Times New Roman"/>
          <w:b/>
          <w:i/>
          <w:highlight w:val="none"/>
          <w:lang w:val="en-US" w:eastAsia="zh-CN"/>
        </w:rPr>
      </w:pPr>
      <w:r>
        <w:rPr>
          <w:rFonts w:hint="eastAsia" w:ascii="Times New Roman" w:hAnsi="Times New Roman" w:eastAsia="宋体"/>
          <w:b/>
          <w:bCs/>
          <w:sz w:val="22"/>
          <w:szCs w:val="22"/>
          <w:highlight w:val="none"/>
          <w:lang w:val="en-US" w:eastAsia="zh-CN"/>
        </w:rPr>
        <w:t>Search space</w:t>
      </w:r>
    </w:p>
    <w:p>
      <w:pPr>
        <w:rPr>
          <w:rFonts w:hint="eastAsia"/>
          <w:lang w:val="en-US" w:eastAsia="zh-CN"/>
        </w:rPr>
      </w:pPr>
      <w:r>
        <w:rPr>
          <w:rFonts w:hint="eastAsia"/>
          <w:lang w:val="en-US" w:eastAsia="zh-CN"/>
        </w:rPr>
        <w:t>In RAN1#106bis-e [1], companies have made the following agreement,</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rPr>
                <w:rFonts w:ascii="Times New Roman" w:hAnsi="Times New Roman" w:eastAsia="Microsoft YaHei UI"/>
                <w:szCs w:val="20"/>
              </w:rPr>
            </w:pPr>
            <w:r>
              <w:rPr>
                <w:rFonts w:ascii="Times New Roman" w:hAnsi="Times New Roman" w:eastAsia="Microsoft YaHei UI"/>
                <w:szCs w:val="20"/>
                <w:shd w:val="clear" w:color="auto" w:fill="00FF00"/>
              </w:rPr>
              <w:t>Agreement </w:t>
            </w:r>
          </w:p>
          <w:p>
            <w:pPr>
              <w:widowControl w:val="0"/>
              <w:rPr>
                <w:rFonts w:ascii="Times New Roman" w:hAnsi="Times New Roman"/>
                <w:szCs w:val="20"/>
              </w:rPr>
            </w:pPr>
            <w:r>
              <w:rPr>
                <w:rFonts w:ascii="Times New Roman" w:hAnsi="Times New Roman"/>
                <w:szCs w:val="20"/>
              </w:rPr>
              <w:t>Support configuration of a dedicated search space (‘peiSearchSpace’) for PEI</w:t>
            </w:r>
          </w:p>
          <w:p>
            <w:pPr>
              <w:pStyle w:val="36"/>
              <w:widowControl w:val="0"/>
              <w:numPr>
                <w:ilvl w:val="0"/>
                <w:numId w:val="8"/>
              </w:numPr>
              <w:rPr>
                <w:szCs w:val="20"/>
              </w:rPr>
            </w:pPr>
            <w:r>
              <w:rPr>
                <w:rFonts w:eastAsia="Microsoft YaHei UI"/>
              </w:rPr>
              <w:t xml:space="preserve">FFS: Configuration details and whether and how to reuse legacy search space sets, including </w:t>
            </w:r>
            <w:r>
              <w:rPr>
                <w:rFonts w:eastAsia="Microsoft YaHei UI"/>
                <w:i/>
                <w:iCs/>
              </w:rPr>
              <w:t>pagingSearchSpace</w:t>
            </w:r>
            <w:r>
              <w:rPr>
                <w:rFonts w:eastAsia="Microsoft YaHei UI"/>
              </w:rPr>
              <w:t xml:space="preserve"> and </w:t>
            </w:r>
            <w:r>
              <w:rPr>
                <w:rFonts w:eastAsia="Microsoft YaHei UI"/>
                <w:i/>
                <w:iCs/>
              </w:rPr>
              <w:t>searchSpaceSetZero</w:t>
            </w:r>
          </w:p>
        </w:tc>
      </w:tr>
    </w:tbl>
    <w:p>
      <w:pPr>
        <w:numPr>
          <w:ilvl w:val="0"/>
          <w:numId w:val="0"/>
        </w:numPr>
        <w:bidi w:val="0"/>
        <w:rPr>
          <w:rFonts w:hint="eastAsia"/>
          <w:sz w:val="20"/>
          <w:szCs w:val="20"/>
        </w:rPr>
      </w:pPr>
      <w:r>
        <w:rPr>
          <w:rFonts w:hint="eastAsia"/>
          <w:sz w:val="20"/>
          <w:szCs w:val="20"/>
          <w:lang w:val="en-US" w:eastAsia="zh-CN"/>
        </w:rPr>
        <w:t>As</w:t>
      </w:r>
      <w:r>
        <w:rPr>
          <w:rFonts w:hint="eastAsia"/>
          <w:sz w:val="20"/>
          <w:szCs w:val="20"/>
        </w:rPr>
        <w:t xml:space="preserve"> the DCI sizes of paging PDCCH and PEI are different, PEI can reuse pagingSearchSpace with SearchSpaceId&gt; 0, and this will not introduce additional network resource overhead and protocol workload.</w:t>
      </w:r>
    </w:p>
    <w:p>
      <w:pPr>
        <w:numPr>
          <w:ilvl w:val="0"/>
          <w:numId w:val="0"/>
        </w:numPr>
        <w:bidi w:val="0"/>
        <w:rPr>
          <w:rFonts w:hint="eastAsia"/>
          <w:sz w:val="20"/>
          <w:szCs w:val="20"/>
        </w:rPr>
      </w:pPr>
      <w:r>
        <w:rPr>
          <w:rFonts w:hint="eastAsia"/>
          <w:sz w:val="20"/>
          <w:szCs w:val="20"/>
        </w:rPr>
        <w:t xml:space="preserve">In some SS/PBCH block and CORESET multiplexing modes, the </w:t>
      </w:r>
      <w:r>
        <w:rPr>
          <w:rFonts w:hint="eastAsia"/>
          <w:sz w:val="20"/>
          <w:szCs w:val="20"/>
          <w:lang w:val="en-US" w:eastAsia="zh-CN"/>
        </w:rPr>
        <w:t>monitoring occasion</w:t>
      </w:r>
      <w:r>
        <w:rPr>
          <w:rFonts w:hint="eastAsia"/>
          <w:sz w:val="20"/>
          <w:szCs w:val="20"/>
        </w:rPr>
        <w:t xml:space="preserve"> of searchSpaceSetZero may be before the corresponding SSB</w:t>
      </w:r>
      <w:r>
        <w:rPr>
          <w:rFonts w:hint="eastAsia"/>
          <w:sz w:val="20"/>
          <w:szCs w:val="20"/>
          <w:lang w:val="en-US" w:eastAsia="zh-CN"/>
        </w:rPr>
        <w:t xml:space="preserve">. This </w:t>
      </w:r>
      <w:r>
        <w:rPr>
          <w:rFonts w:hint="eastAsia"/>
          <w:sz w:val="20"/>
          <w:szCs w:val="20"/>
        </w:rPr>
        <w:t xml:space="preserve">makes the UE need to receive earlier SS bursts to achieve synchronization, which is not beneficial to </w:t>
      </w:r>
      <w:r>
        <w:rPr>
          <w:rFonts w:hint="eastAsia"/>
          <w:sz w:val="20"/>
          <w:szCs w:val="20"/>
          <w:lang w:val="en-US" w:eastAsia="zh-CN"/>
        </w:rPr>
        <w:t>UE</w:t>
      </w:r>
      <w:r>
        <w:rPr>
          <w:rFonts w:hint="eastAsia"/>
          <w:sz w:val="20"/>
          <w:szCs w:val="20"/>
        </w:rPr>
        <w:t xml:space="preserve"> power saving </w:t>
      </w:r>
      <w:r>
        <w:rPr>
          <w:rFonts w:hint="eastAsia"/>
          <w:sz w:val="20"/>
          <w:szCs w:val="20"/>
          <w:lang w:val="en-US" w:eastAsia="zh-CN"/>
        </w:rPr>
        <w:t>gain</w:t>
      </w:r>
      <w:r>
        <w:rPr>
          <w:rFonts w:hint="eastAsia"/>
          <w:sz w:val="20"/>
          <w:szCs w:val="20"/>
        </w:rPr>
        <w:t>. Therefore, searchSpaceZero</w:t>
      </w:r>
      <w:r>
        <w:rPr>
          <w:rFonts w:hint="eastAsia"/>
          <w:sz w:val="20"/>
          <w:szCs w:val="20"/>
          <w:lang w:val="en-US" w:eastAsia="zh-CN"/>
        </w:rPr>
        <w:t xml:space="preserve"> should not be supported</w:t>
      </w:r>
      <w:r>
        <w:rPr>
          <w:rFonts w:hint="eastAsia"/>
          <w:sz w:val="20"/>
          <w:szCs w:val="20"/>
        </w:rPr>
        <w:t>.</w:t>
      </w:r>
    </w:p>
    <w:p>
      <w:pPr>
        <w:pStyle w:val="36"/>
        <w:numPr>
          <w:ilvl w:val="0"/>
          <w:numId w:val="10"/>
        </w:numPr>
        <w:ind w:firstLineChars="0"/>
        <w:outlineLvl w:val="9"/>
        <w:rPr>
          <w:rFonts w:hint="default" w:ascii="Times New Roman" w:hAnsi="Times New Roman" w:eastAsia="Times New Roman" w:cs="Times New Roman"/>
          <w:b/>
          <w:i/>
          <w:highlight w:val="none"/>
          <w:lang w:val="en-US" w:eastAsia="zh-CN"/>
        </w:rPr>
      </w:pPr>
      <w:bookmarkStart w:id="3" w:name="OLE_LINK2"/>
      <w:bookmarkStart w:id="4" w:name="OLE_LINK7"/>
      <w:r>
        <w:rPr>
          <w:rFonts w:hint="eastAsia" w:cs="Times New Roman"/>
          <w:b/>
          <w:i/>
          <w:highlight w:val="none"/>
          <w:lang w:val="en-US" w:eastAsia="zh-CN"/>
        </w:rPr>
        <w:t>Reusing pagingSearchSpace with SearchSpaceId&gt; 0.</w:t>
      </w:r>
    </w:p>
    <w:p>
      <w:pPr>
        <w:pStyle w:val="36"/>
        <w:numPr>
          <w:ilvl w:val="0"/>
          <w:numId w:val="10"/>
        </w:numPr>
        <w:ind w:firstLineChars="0"/>
        <w:outlineLvl w:val="9"/>
        <w:rPr>
          <w:rFonts w:hint="default" w:ascii="Times New Roman" w:hAnsi="Times New Roman" w:eastAsia="Times New Roman" w:cs="Times New Roman"/>
          <w:b/>
          <w:i/>
          <w:highlight w:val="none"/>
          <w:lang w:val="en-US" w:eastAsia="zh-CN"/>
        </w:rPr>
      </w:pPr>
      <w:r>
        <w:rPr>
          <w:rFonts w:hint="eastAsia" w:cs="Times New Roman"/>
          <w:b/>
          <w:i/>
          <w:highlight w:val="none"/>
          <w:lang w:val="en-US" w:eastAsia="zh-CN"/>
        </w:rPr>
        <w:t>SearchSpaceZero cannot be supported.</w:t>
      </w:r>
    </w:p>
    <w:bookmarkEnd w:id="3"/>
    <w:bookmarkEnd w:id="4"/>
    <w:p>
      <w:pPr>
        <w:pStyle w:val="4"/>
        <w:spacing w:before="120" w:after="120" w:line="260" w:lineRule="auto"/>
        <w:ind w:left="0" w:right="210"/>
        <w:rPr>
          <w:highlight w:val="none"/>
        </w:rPr>
      </w:pPr>
      <w:r>
        <w:rPr>
          <w:rFonts w:hint="eastAsia" w:ascii="Times New Roman" w:hAnsi="Times New Roman" w:eastAsia="宋体"/>
          <w:b/>
          <w:bCs/>
          <w:sz w:val="22"/>
          <w:szCs w:val="22"/>
          <w:highlight w:val="none"/>
        </w:rPr>
        <w:t xml:space="preserve">PEI </w:t>
      </w:r>
      <w:r>
        <w:rPr>
          <w:rFonts w:hint="eastAsia" w:ascii="Times New Roman" w:hAnsi="Times New Roman" w:eastAsia="宋体"/>
          <w:b/>
          <w:bCs/>
          <w:sz w:val="22"/>
          <w:szCs w:val="22"/>
          <w:highlight w:val="none"/>
          <w:lang w:val="en-US" w:eastAsia="zh-CN"/>
        </w:rPr>
        <w:t>occasion</w:t>
      </w:r>
    </w:p>
    <w:p>
      <w:pPr>
        <w:rPr>
          <w:rFonts w:hint="eastAsia"/>
          <w:lang w:val="en-US" w:eastAsia="zh-CN"/>
        </w:rPr>
      </w:pPr>
      <w:r>
        <w:rPr>
          <w:rFonts w:hint="eastAsia"/>
          <w:lang w:val="en-US" w:eastAsia="zh-CN"/>
        </w:rPr>
        <w:t>In RAN1#106bis-e [1], companies have made the following agreement,</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rPr>
                <w:rFonts w:ascii="Times New Roman" w:hAnsi="Times New Roman"/>
                <w:szCs w:val="20"/>
                <w:lang w:eastAsia="en-GB"/>
              </w:rPr>
            </w:pPr>
            <w:r>
              <w:rPr>
                <w:rFonts w:ascii="Times New Roman" w:hAnsi="Times New Roman"/>
                <w:szCs w:val="20"/>
                <w:shd w:val="clear" w:color="auto" w:fill="00FF00"/>
              </w:rPr>
              <w:t>Agreement</w:t>
            </w:r>
          </w:p>
          <w:p>
            <w:pPr>
              <w:widowControl w:val="0"/>
              <w:rPr>
                <w:rFonts w:ascii="Times New Roman" w:hAnsi="Times New Roman"/>
                <w:szCs w:val="20"/>
              </w:rPr>
            </w:pPr>
            <w:r>
              <w:rPr>
                <w:rFonts w:ascii="Times New Roman" w:hAnsi="Times New Roman"/>
                <w:szCs w:val="20"/>
              </w:rPr>
              <w:t>Determination of PEI-O location for a target PO is based on one of the following alternatives:</w:t>
            </w:r>
          </w:p>
          <w:p>
            <w:pPr>
              <w:pStyle w:val="36"/>
              <w:widowControl w:val="0"/>
              <w:numPr>
                <w:ilvl w:val="0"/>
                <w:numId w:val="11"/>
              </w:numPr>
            </w:pPr>
            <w:r>
              <w:t>Alt 1: The first PDCCH monitoring occasion of the PEI-O is provided w.r.t. the start of a reference frame determined by a frame-level offset to the PF of the target PO</w:t>
            </w:r>
          </w:p>
          <w:p>
            <w:pPr>
              <w:pStyle w:val="36"/>
              <w:widowControl w:val="0"/>
              <w:numPr>
                <w:ilvl w:val="1"/>
                <w:numId w:val="11"/>
              </w:numPr>
            </w:pPr>
            <w:r>
              <w:t>FFS: The unit and the range of the frame-level offset</w:t>
            </w:r>
          </w:p>
          <w:p>
            <w:pPr>
              <w:pStyle w:val="36"/>
              <w:widowControl w:val="0"/>
              <w:numPr>
                <w:ilvl w:val="1"/>
                <w:numId w:val="11"/>
              </w:numPr>
            </w:pPr>
            <w:r>
              <w:t>FFS: The unit and the range of the configuration for the first PDCCH monitoring occasion (e.g., to be the same as those of </w:t>
            </w:r>
            <w:r>
              <w:rPr>
                <w:i/>
                <w:iCs/>
              </w:rPr>
              <w:t>firstPDCCH-MonitoringOccasionOfPO</w:t>
            </w:r>
            <w:r>
              <w:t>)</w:t>
            </w:r>
          </w:p>
          <w:p>
            <w:pPr>
              <w:pStyle w:val="36"/>
              <w:widowControl w:val="0"/>
              <w:numPr>
                <w:ilvl w:val="0"/>
                <w:numId w:val="11"/>
              </w:numPr>
            </w:pPr>
            <w:r>
              <w:t>Alt 2: The first PDCCH monitoring occasion of the PEI-O is provided w.r.t. the </w:t>
            </w:r>
            <w:r>
              <w:rPr>
                <w:i/>
                <w:iCs/>
              </w:rPr>
              <w:t>L</w:t>
            </w:r>
            <w:r>
              <w:t>-th SS burst before the first PDCCH monitoring occasion of the target PO.</w:t>
            </w:r>
          </w:p>
          <w:p>
            <w:pPr>
              <w:pStyle w:val="36"/>
              <w:widowControl w:val="0"/>
              <w:numPr>
                <w:ilvl w:val="1"/>
                <w:numId w:val="11"/>
              </w:numPr>
            </w:pPr>
            <w:r>
              <w:t>FFS: the case that a SSB burst overlaps in time with the target PO</w:t>
            </w:r>
          </w:p>
          <w:p>
            <w:pPr>
              <w:pStyle w:val="36"/>
              <w:widowControl w:val="0"/>
              <w:numPr>
                <w:ilvl w:val="1"/>
                <w:numId w:val="11"/>
              </w:numPr>
            </w:pPr>
            <w:r>
              <w:t>FFS: </w:t>
            </w:r>
            <w:r>
              <w:rPr>
                <w:i/>
                <w:iCs/>
              </w:rPr>
              <w:t>L</w:t>
            </w:r>
            <w:r>
              <w:t> = 1, 2 or 3</w:t>
            </w:r>
          </w:p>
          <w:p>
            <w:pPr>
              <w:pStyle w:val="36"/>
              <w:widowControl w:val="0"/>
              <w:numPr>
                <w:ilvl w:val="1"/>
                <w:numId w:val="11"/>
              </w:numPr>
            </w:pPr>
            <w:r>
              <w:t>FFS: Reference the “start” or “end” of the </w:t>
            </w:r>
            <w:r>
              <w:rPr>
                <w:i/>
                <w:iCs/>
              </w:rPr>
              <w:t>L</w:t>
            </w:r>
            <w:r>
              <w:t>-th SS burst</w:t>
            </w:r>
          </w:p>
          <w:p>
            <w:pPr>
              <w:pStyle w:val="36"/>
              <w:widowControl w:val="0"/>
              <w:numPr>
                <w:ilvl w:val="1"/>
                <w:numId w:val="11"/>
              </w:numPr>
            </w:pPr>
            <w:r>
              <w:t>FFS: The unit and the range of the configuration for the first PDCCH monitoring occasion</w:t>
            </w:r>
          </w:p>
          <w:p>
            <w:pPr>
              <w:pStyle w:val="36"/>
              <w:widowControl w:val="0"/>
              <w:numPr>
                <w:ilvl w:val="0"/>
                <w:numId w:val="11"/>
              </w:numPr>
            </w:pPr>
            <w:r>
              <w:t>Alt 3: The first PDCCH monitoring occasion of the PEI-O is provided by a time offset w.r.t. a reference time for the target PO.</w:t>
            </w:r>
          </w:p>
          <w:p>
            <w:pPr>
              <w:pStyle w:val="36"/>
              <w:widowControl w:val="0"/>
              <w:numPr>
                <w:ilvl w:val="1"/>
                <w:numId w:val="11"/>
              </w:numPr>
            </w:pPr>
            <w:r>
              <w:t>FFS: The exact definition of the reference time, e.g. the first MO of the target PO, the first MO of the first PO indicated by the PEI, the start of the PF for the target PO</w:t>
            </w:r>
          </w:p>
          <w:p>
            <w:pPr>
              <w:pStyle w:val="36"/>
              <w:widowControl w:val="0"/>
              <w:numPr>
                <w:ilvl w:val="1"/>
                <w:numId w:val="11"/>
              </w:numPr>
            </w:pPr>
            <w:r>
              <w:t>FFS: The unit and the range of the time offset</w:t>
            </w:r>
          </w:p>
          <w:p>
            <w:pPr>
              <w:pStyle w:val="36"/>
              <w:widowControl w:val="0"/>
              <w:numPr>
                <w:ilvl w:val="0"/>
                <w:numId w:val="11"/>
              </w:numPr>
            </w:pPr>
            <w:r>
              <w:t>FFS: Whether any SS burst or TRS burst is needed between PEI-O and PO</w:t>
            </w:r>
          </w:p>
          <w:p>
            <w:pPr>
              <w:pStyle w:val="36"/>
              <w:widowControl w:val="0"/>
              <w:numPr>
                <w:ilvl w:val="0"/>
                <w:numId w:val="11"/>
              </w:numPr>
              <w:rPr>
                <w:szCs w:val="20"/>
              </w:rPr>
            </w:pPr>
            <w:r>
              <w:t>Configuration for one PEI indicating multiple POs within a PF should be taken into consideration in the determination of PEI occasion  </w:t>
            </w:r>
          </w:p>
        </w:tc>
      </w:tr>
    </w:tbl>
    <w:p>
      <w:pPr>
        <w:spacing w:before="120" w:after="120" w:line="260" w:lineRule="auto"/>
        <w:jc w:val="left"/>
        <w:rPr>
          <w:rFonts w:hint="eastAsia" w:cs="Times New Roman"/>
          <w:sz w:val="20"/>
          <w:szCs w:val="22"/>
          <w:lang w:val="en-US" w:eastAsia="zh-CN"/>
        </w:rPr>
      </w:pPr>
      <w:r>
        <w:rPr>
          <w:rFonts w:hint="eastAsia" w:cs="Times New Roman"/>
          <w:sz w:val="20"/>
          <w:szCs w:val="22"/>
          <w:lang w:val="en-US" w:eastAsia="zh-CN"/>
        </w:rPr>
        <w:t>In the previous meeting, companies have discussed and evaluated that one SSB could reduce the CFO for PEI decoding to a reasonable range. Therefore, PEI can be placed after the first SSB associated with the PO. Assuming that there are 3 SSBs before the PO, the first SSB associated with the PO refers to the third closest SSB to the PO, which is shown in the Figure 1. As a result, SSB should be the reference time for PEI. In fact, gNB can also configure which SSB should be the reference. Based on the analysis, if we want to get the PEI location, at least a time offset between the associated SSB and start of the PEI monitoring window, and duration for window should be defined.</w:t>
      </w:r>
    </w:p>
    <w:p>
      <w:pPr>
        <w:spacing w:before="120" w:after="120" w:line="260" w:lineRule="auto"/>
        <w:jc w:val="left"/>
        <w:rPr>
          <w:rFonts w:hint="eastAsia" w:cs="Times New Roman"/>
          <w:sz w:val="20"/>
          <w:szCs w:val="22"/>
          <w:lang w:val="en-US" w:eastAsia="zh-CN"/>
        </w:rPr>
      </w:pPr>
      <w:r>
        <w:rPr>
          <w:rFonts w:hint="eastAsia" w:cs="Times New Roman"/>
          <w:sz w:val="20"/>
          <w:szCs w:val="22"/>
          <w:lang w:val="en-US" w:eastAsia="zh-CN"/>
        </w:rPr>
        <w:t>Since the number of POs associated with a PEI may be less than the number of POs associated with an SSB burst set, for example, a PEI can be associated with up to 4 POs but an SSB burst set can be associated with 8 POs. POs in one DRX Cycle should be divided into multiple groups. The reference time of the PEI associated with the first PO groups should be the SSB, and the reference of the PEI associated with the remaining groups should be the corresponding PO. Therefore, the time offset should be extended to an time offset set, which include offset1~offsetX, X depends on the number of PO groups. Figure 1 shows an offset set, including offset1 and offset2, where offset 1 refers to the offset between the PEI monitoring occasion and the SSB, and offset2 refers to the offset between the PEI monitoring occasion and the first PO of the second PO group.</w:t>
      </w:r>
    </w:p>
    <w:p>
      <w:pPr>
        <w:spacing w:before="120" w:after="120" w:line="260" w:lineRule="auto"/>
        <w:jc w:val="left"/>
        <w:rPr>
          <w:rFonts w:hint="default"/>
          <w:lang w:val="en-US"/>
        </w:rPr>
      </w:pPr>
      <w:r>
        <w:rPr>
          <w:rFonts w:hint="eastAsia" w:cs="Times New Roman"/>
          <w:sz w:val="20"/>
          <w:szCs w:val="22"/>
          <w:lang w:val="en-US" w:eastAsia="zh-CN"/>
        </w:rPr>
        <w:t>For more flexibility, the number of POs that one PEI can be associated with can also be configured by gNB.</w:t>
      </w:r>
      <w:bookmarkStart w:id="5" w:name="OLE_LINK6"/>
      <w:r>
        <w:rPr>
          <w:rFonts w:hint="eastAsia" w:cs="Times New Roman"/>
          <w:sz w:val="20"/>
          <w:szCs w:val="22"/>
          <w:lang w:val="en-US" w:eastAsia="zh-CN"/>
        </w:rPr>
        <w:t xml:space="preserve"> </w:t>
      </w:r>
    </w:p>
    <w:p>
      <w:pPr>
        <w:spacing w:before="120" w:after="120" w:line="260" w:lineRule="auto"/>
        <w:jc w:val="center"/>
      </w:pPr>
      <w:r>
        <w:drawing>
          <wp:inline distT="0" distB="0" distL="114300" distR="114300">
            <wp:extent cx="5619750" cy="1752600"/>
            <wp:effectExtent l="0" t="0" r="635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619750" cy="1752600"/>
                    </a:xfrm>
                    <a:prstGeom prst="rect">
                      <a:avLst/>
                    </a:prstGeom>
                    <a:noFill/>
                    <a:ln>
                      <a:noFill/>
                    </a:ln>
                  </pic:spPr>
                </pic:pic>
              </a:graphicData>
            </a:graphic>
          </wp:inline>
        </w:drawing>
      </w:r>
    </w:p>
    <w:p>
      <w:pPr>
        <w:spacing w:before="120" w:after="120" w:line="260" w:lineRule="auto"/>
        <w:jc w:val="center"/>
        <w:rPr>
          <w:rFonts w:hint="eastAsia"/>
          <w:lang w:val="en-US" w:eastAsia="zh-CN"/>
        </w:rPr>
      </w:pPr>
      <w:r>
        <w:rPr>
          <w:rFonts w:hint="eastAsia"/>
          <w:lang w:val="en-US" w:eastAsia="zh-CN"/>
        </w:rPr>
        <w:t>Figure 1</w:t>
      </w:r>
    </w:p>
    <w:p>
      <w:pPr>
        <w:spacing w:before="120" w:after="120" w:line="260" w:lineRule="auto"/>
        <w:jc w:val="left"/>
        <w:rPr>
          <w:rFonts w:hint="default"/>
          <w:lang w:val="en-US" w:eastAsia="zh-CN"/>
        </w:rPr>
      </w:pPr>
      <w:r>
        <w:rPr>
          <w:rFonts w:hint="eastAsia"/>
          <w:lang w:val="en-US" w:eastAsia="zh-CN"/>
        </w:rPr>
        <w:t>As shown in Figure 2, PEI should support multiple beams like PO. The number of PEI MOs is equal to the number of PO MOs.</w:t>
      </w:r>
    </w:p>
    <w:p>
      <w:pPr>
        <w:spacing w:before="120" w:after="120" w:line="260" w:lineRule="auto"/>
        <w:jc w:val="center"/>
      </w:pPr>
      <w:r>
        <w:drawing>
          <wp:inline distT="0" distB="0" distL="114300" distR="114300">
            <wp:extent cx="4902200" cy="13462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4902200" cy="1346200"/>
                    </a:xfrm>
                    <a:prstGeom prst="rect">
                      <a:avLst/>
                    </a:prstGeom>
                    <a:noFill/>
                    <a:ln>
                      <a:noFill/>
                    </a:ln>
                  </pic:spPr>
                </pic:pic>
              </a:graphicData>
            </a:graphic>
          </wp:inline>
        </w:drawing>
      </w:r>
    </w:p>
    <w:p>
      <w:pPr>
        <w:spacing w:before="120" w:after="120" w:line="260" w:lineRule="auto"/>
        <w:jc w:val="center"/>
        <w:rPr>
          <w:rFonts w:hint="default" w:eastAsia="宋体"/>
          <w:lang w:val="en-US" w:eastAsia="zh-CN"/>
        </w:rPr>
      </w:pPr>
      <w:r>
        <w:rPr>
          <w:rFonts w:hint="eastAsia"/>
          <w:lang w:val="en-US" w:eastAsia="zh-CN"/>
        </w:rPr>
        <w:t>Figure 2</w:t>
      </w:r>
    </w:p>
    <w:p>
      <w:pPr>
        <w:pStyle w:val="36"/>
        <w:numPr>
          <w:ilvl w:val="0"/>
          <w:numId w:val="10"/>
        </w:numPr>
        <w:ind w:firstLineChars="0"/>
        <w:rPr>
          <w:rFonts w:ascii="Times New Roman" w:hAnsi="Times New Roman" w:cs="Times New Roman" w:eastAsiaTheme="minorEastAsia"/>
          <w:b/>
          <w:i/>
          <w:kern w:val="2"/>
          <w:highlight w:val="none"/>
          <w:lang w:val="en-US" w:eastAsia="zh-CN"/>
        </w:rPr>
      </w:pPr>
      <w:bookmarkStart w:id="6" w:name="OLE_LINK4"/>
      <w:r>
        <w:rPr>
          <w:rFonts w:hint="eastAsia" w:eastAsiaTheme="minorEastAsia"/>
          <w:b/>
          <w:i/>
          <w:kern w:val="2"/>
          <w:highlight w:val="none"/>
          <w:lang w:val="en-US" w:eastAsia="zh-CN"/>
        </w:rPr>
        <w:t>An offset set</w:t>
      </w:r>
      <w:r>
        <w:rPr>
          <w:rFonts w:eastAsiaTheme="minorEastAsia"/>
          <w:b/>
          <w:i/>
          <w:kern w:val="2"/>
          <w:highlight w:val="none"/>
          <w:lang w:val="en-US" w:eastAsia="zh-CN"/>
        </w:rPr>
        <w:t xml:space="preserve"> </w:t>
      </w:r>
      <w:r>
        <w:rPr>
          <w:rFonts w:hint="eastAsia" w:eastAsiaTheme="minorEastAsia"/>
          <w:b/>
          <w:i/>
          <w:kern w:val="2"/>
          <w:highlight w:val="none"/>
          <w:lang w:val="en-US" w:eastAsia="zh-CN"/>
        </w:rPr>
        <w:t>and monitoring window can be defined for the PEI-O</w:t>
      </w:r>
    </w:p>
    <w:p>
      <w:pPr>
        <w:pStyle w:val="36"/>
        <w:numPr>
          <w:ilvl w:val="0"/>
          <w:numId w:val="10"/>
        </w:numPr>
        <w:ind w:firstLineChars="0"/>
        <w:rPr>
          <w:rFonts w:ascii="Times New Roman" w:hAnsi="Times New Roman" w:cs="Times New Roman" w:eastAsiaTheme="minorEastAsia"/>
          <w:b/>
          <w:i/>
          <w:kern w:val="2"/>
          <w:highlight w:val="none"/>
          <w:lang w:val="en-US" w:eastAsia="zh-CN"/>
        </w:rPr>
      </w:pPr>
      <w:r>
        <w:rPr>
          <w:rFonts w:hint="eastAsia" w:cs="Times New Roman" w:eastAsiaTheme="minorEastAsia"/>
          <w:b/>
          <w:i/>
          <w:kern w:val="2"/>
          <w:highlight w:val="none"/>
          <w:lang w:val="en-US" w:eastAsia="zh-CN"/>
        </w:rPr>
        <w:t>PEI should support multiple beams</w:t>
      </w:r>
    </w:p>
    <w:p>
      <w:pPr>
        <w:pStyle w:val="36"/>
        <w:numPr>
          <w:ilvl w:val="0"/>
          <w:numId w:val="0"/>
        </w:numPr>
        <w:ind w:leftChars="0"/>
        <w:rPr>
          <w:rFonts w:ascii="Times New Roman" w:hAnsi="Times New Roman" w:cs="Times New Roman" w:eastAsiaTheme="minorEastAsia"/>
          <w:b/>
          <w:i/>
          <w:kern w:val="2"/>
          <w:highlight w:val="none"/>
          <w:lang w:val="en-US" w:eastAsia="zh-CN"/>
        </w:rPr>
      </w:pPr>
    </w:p>
    <w:p>
      <w:pPr>
        <w:pStyle w:val="36"/>
        <w:numPr>
          <w:ilvl w:val="0"/>
          <w:numId w:val="0"/>
        </w:numPr>
        <w:spacing w:before="0" w:afterLines="0"/>
        <w:ind w:leftChars="0"/>
        <w:rPr>
          <w:rFonts w:hint="eastAsia" w:ascii="Times New Roman" w:hAnsi="Times New Roman" w:eastAsia="宋体" w:cs="Times New Roman"/>
          <w:b/>
          <w:bCs/>
          <w:i/>
          <w:caps w:val="0"/>
          <w:spacing w:val="0"/>
          <w:sz w:val="22"/>
          <w:szCs w:val="22"/>
          <w:highlight w:val="none"/>
          <w:u w:val="none"/>
          <w:shd w:val="clear"/>
        </w:rPr>
      </w:pPr>
    </w:p>
    <w:bookmarkEnd w:id="5"/>
    <w:bookmarkEnd w:id="6"/>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Conclusion</w:t>
      </w:r>
    </w:p>
    <w:p>
      <w:pPr>
        <w:spacing w:before="120" w:after="120"/>
        <w:rPr>
          <w:rFonts w:hint="eastAsia"/>
          <w:highlight w:val="none"/>
          <w:lang w:eastAsia="zh-CN"/>
        </w:rPr>
      </w:pPr>
      <w:r>
        <w:rPr>
          <w:rFonts w:hint="eastAsia"/>
          <w:highlight w:val="none"/>
        </w:rPr>
        <w:t>In this contribution</w:t>
      </w:r>
      <w:r>
        <w:rPr>
          <w:rFonts w:hint="eastAsia"/>
          <w:highlight w:val="none"/>
          <w:lang w:eastAsia="zh-CN"/>
        </w:rPr>
        <w:t xml:space="preserve">, </w:t>
      </w:r>
      <w:r>
        <w:rPr>
          <w:rFonts w:hint="eastAsia"/>
          <w:highlight w:val="none"/>
        </w:rPr>
        <w:t xml:space="preserve"> we discuss </w:t>
      </w:r>
      <w:r>
        <w:rPr>
          <w:rFonts w:hint="eastAsia"/>
          <w:highlight w:val="none"/>
          <w:lang w:val="en-US" w:eastAsia="zh-CN"/>
        </w:rPr>
        <w:t>the design of PEI</w:t>
      </w:r>
      <w:r>
        <w:rPr>
          <w:rFonts w:hint="eastAsia"/>
          <w:highlight w:val="none"/>
          <w:lang w:eastAsia="zh-CN"/>
        </w:rPr>
        <w:t xml:space="preserve">. </w:t>
      </w:r>
      <w:r>
        <w:rPr>
          <w:rFonts w:hint="eastAsia"/>
          <w:highlight w:val="none"/>
        </w:rPr>
        <w:t>We have the following proposals</w:t>
      </w:r>
      <w:r>
        <w:rPr>
          <w:rFonts w:hint="eastAsia"/>
          <w:highlight w:val="none"/>
          <w:lang w:eastAsia="zh-CN"/>
        </w:rPr>
        <w:t xml:space="preserve">. </w:t>
      </w:r>
    </w:p>
    <w:p>
      <w:pPr>
        <w:pStyle w:val="36"/>
        <w:numPr>
          <w:ilvl w:val="0"/>
          <w:numId w:val="12"/>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One PEI associated with N POs and N can be the multiple of Ns.</w:t>
      </w:r>
    </w:p>
    <w:p>
      <w:pPr>
        <w:pStyle w:val="36"/>
        <w:numPr>
          <w:ilvl w:val="0"/>
          <w:numId w:val="12"/>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ko-KR"/>
        </w:rPr>
        <w:t>The maximum number of total bits in PEI DCI format</w:t>
      </w:r>
      <w:r>
        <w:rPr>
          <w:rFonts w:hint="eastAsia" w:eastAsia="宋体" w:cs="Times New Roman"/>
          <w:b/>
          <w:i/>
          <w:highlight w:val="none"/>
          <w:lang w:val="en-US" w:eastAsia="zh-CN"/>
        </w:rPr>
        <w:t xml:space="preserve"> is 35 bit</w:t>
      </w:r>
      <w:r>
        <w:rPr>
          <w:rFonts w:hint="eastAsia" w:cs="Times New Roman"/>
          <w:b/>
          <w:i/>
          <w:highlight w:val="none"/>
          <w:lang w:val="en-US" w:eastAsia="zh-CN"/>
        </w:rPr>
        <w:t>.</w:t>
      </w:r>
    </w:p>
    <w:p>
      <w:pPr>
        <w:pStyle w:val="36"/>
        <w:numPr>
          <w:ilvl w:val="0"/>
          <w:numId w:val="12"/>
        </w:numPr>
        <w:ind w:firstLineChars="0"/>
        <w:rPr>
          <w:rFonts w:hint="eastAsia" w:ascii="Times New Roman" w:hAnsi="Times New Roman" w:eastAsia="Times New Roman" w:cs="Times New Roman"/>
          <w:b/>
          <w:i/>
          <w:highlight w:val="none"/>
          <w:lang w:val="en-US" w:eastAsia="zh-CN"/>
        </w:rPr>
      </w:pPr>
      <w:r>
        <w:rPr>
          <w:rFonts w:hint="eastAsia" w:cs="Times New Roman"/>
          <w:b/>
          <w:i/>
          <w:highlight w:val="none"/>
          <w:lang w:val="en-US" w:eastAsia="zh-CN"/>
        </w:rPr>
        <w:t>P-RNTI should be supported.</w:t>
      </w:r>
    </w:p>
    <w:p>
      <w:pPr>
        <w:pStyle w:val="36"/>
        <w:numPr>
          <w:ilvl w:val="0"/>
          <w:numId w:val="12"/>
        </w:numPr>
        <w:ind w:firstLineChars="0"/>
        <w:outlineLvl w:val="9"/>
        <w:rPr>
          <w:rFonts w:hint="default" w:ascii="Times New Roman" w:hAnsi="Times New Roman" w:eastAsia="Times New Roman" w:cs="Times New Roman"/>
          <w:b/>
          <w:i/>
          <w:highlight w:val="none"/>
          <w:lang w:val="en-US" w:eastAsia="zh-CN"/>
        </w:rPr>
      </w:pPr>
      <w:r>
        <w:rPr>
          <w:rFonts w:hint="eastAsia" w:cs="Times New Roman"/>
          <w:b/>
          <w:i/>
          <w:highlight w:val="none"/>
          <w:lang w:val="en-US" w:eastAsia="zh-CN"/>
        </w:rPr>
        <w:t>Reusing pagingSearchSpace with SearchSpaceId&gt; 0.</w:t>
      </w:r>
    </w:p>
    <w:p>
      <w:pPr>
        <w:pStyle w:val="36"/>
        <w:numPr>
          <w:ilvl w:val="0"/>
          <w:numId w:val="12"/>
        </w:numPr>
        <w:ind w:firstLineChars="0"/>
        <w:outlineLvl w:val="9"/>
        <w:rPr>
          <w:rFonts w:hint="default" w:ascii="Times New Roman" w:hAnsi="Times New Roman" w:eastAsia="Times New Roman" w:cs="Times New Roman"/>
          <w:b/>
          <w:i/>
          <w:highlight w:val="none"/>
          <w:lang w:val="en-US" w:eastAsia="zh-CN"/>
        </w:rPr>
      </w:pPr>
      <w:r>
        <w:rPr>
          <w:rFonts w:hint="eastAsia" w:cs="Times New Roman"/>
          <w:b/>
          <w:i/>
          <w:highlight w:val="none"/>
          <w:lang w:val="en-US" w:eastAsia="zh-CN"/>
        </w:rPr>
        <w:t>SearchSpaceZero cannot be supported.</w:t>
      </w:r>
    </w:p>
    <w:p>
      <w:pPr>
        <w:pStyle w:val="36"/>
        <w:numPr>
          <w:ilvl w:val="0"/>
          <w:numId w:val="12"/>
        </w:numPr>
        <w:ind w:firstLineChars="0"/>
        <w:rPr>
          <w:rFonts w:ascii="Times New Roman" w:hAnsi="Times New Roman" w:cs="Times New Roman" w:eastAsiaTheme="minorEastAsia"/>
          <w:b/>
          <w:i/>
          <w:kern w:val="2"/>
          <w:highlight w:val="none"/>
          <w:lang w:val="en-US" w:eastAsia="zh-CN"/>
        </w:rPr>
      </w:pPr>
      <w:r>
        <w:rPr>
          <w:rFonts w:hint="eastAsia" w:eastAsiaTheme="minorEastAsia"/>
          <w:b/>
          <w:i/>
          <w:kern w:val="2"/>
          <w:highlight w:val="none"/>
          <w:lang w:val="en-US" w:eastAsia="zh-CN"/>
        </w:rPr>
        <w:t>An offset set</w:t>
      </w:r>
      <w:r>
        <w:rPr>
          <w:rFonts w:eastAsiaTheme="minorEastAsia"/>
          <w:b/>
          <w:i/>
          <w:kern w:val="2"/>
          <w:highlight w:val="none"/>
          <w:lang w:val="en-US" w:eastAsia="zh-CN"/>
        </w:rPr>
        <w:t xml:space="preserve"> </w:t>
      </w:r>
      <w:r>
        <w:rPr>
          <w:rFonts w:hint="eastAsia" w:eastAsiaTheme="minorEastAsia"/>
          <w:b/>
          <w:i/>
          <w:kern w:val="2"/>
          <w:highlight w:val="none"/>
          <w:lang w:val="en-US" w:eastAsia="zh-CN"/>
        </w:rPr>
        <w:t>and monitoring window can be defined for the PEI-O</w:t>
      </w:r>
    </w:p>
    <w:p>
      <w:pPr>
        <w:pStyle w:val="36"/>
        <w:numPr>
          <w:ilvl w:val="0"/>
          <w:numId w:val="12"/>
        </w:numPr>
        <w:ind w:firstLineChars="0"/>
        <w:rPr>
          <w:rFonts w:ascii="Times New Roman" w:hAnsi="Times New Roman" w:cs="Times New Roman" w:eastAsiaTheme="minorEastAsia"/>
          <w:b/>
          <w:i/>
          <w:kern w:val="2"/>
          <w:highlight w:val="none"/>
          <w:lang w:val="en-US" w:eastAsia="zh-CN"/>
        </w:rPr>
      </w:pPr>
      <w:r>
        <w:rPr>
          <w:rFonts w:hint="eastAsia" w:cs="Times New Roman" w:eastAsiaTheme="minorEastAsia"/>
          <w:b/>
          <w:i/>
          <w:kern w:val="2"/>
          <w:highlight w:val="none"/>
          <w:lang w:val="en-US" w:eastAsia="zh-CN"/>
        </w:rPr>
        <w:t>PEI should support multiple beams</w:t>
      </w:r>
    </w:p>
    <w:p>
      <w:pPr>
        <w:pStyle w:val="36"/>
        <w:numPr>
          <w:ilvl w:val="0"/>
          <w:numId w:val="0"/>
        </w:numPr>
        <w:ind w:leftChars="0"/>
        <w:rPr>
          <w:rFonts w:hint="eastAsia" w:ascii="Times New Roman" w:hAnsi="Times New Roman" w:eastAsia="Times New Roman" w:cs="Times New Roman"/>
          <w:b/>
          <w:i/>
          <w:highlight w:val="none"/>
          <w:lang w:val="en-US" w:eastAsia="zh-CN"/>
        </w:rPr>
      </w:pP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References</w:t>
      </w:r>
    </w:p>
    <w:p>
      <w:pPr>
        <w:pStyle w:val="35"/>
        <w:spacing w:before="120" w:after="120"/>
        <w:ind w:left="363" w:hanging="363"/>
        <w:rPr>
          <w:b w:val="0"/>
          <w:bCs w:val="0"/>
          <w:i w:val="0"/>
          <w:iCs w:val="0"/>
          <w:highlight w:val="none"/>
          <w:lang w:val="en-US" w:eastAsia="zh-CN"/>
        </w:rPr>
      </w:pPr>
      <w:bookmarkStart w:id="7" w:name="_Ref17466"/>
      <w:r>
        <w:rPr>
          <w:rFonts w:hint="eastAsia"/>
          <w:sz w:val="22"/>
          <w:szCs w:val="20"/>
          <w:highlight w:val="none"/>
        </w:rPr>
        <w:t>Draft_Minutes_report_RAN1#106b-e_v020</w:t>
      </w:r>
      <w:bookmarkEnd w:id="7"/>
      <w:r>
        <w:rPr>
          <w:rFonts w:hint="eastAsia"/>
          <w:sz w:val="22"/>
          <w:szCs w:val="20"/>
          <w:highlight w:val="none"/>
          <w:lang w:eastAsia="zh-CN"/>
        </w:rPr>
        <w:t>，</w:t>
      </w:r>
      <w:r>
        <w:rPr>
          <w:rFonts w:hint="eastAsia"/>
          <w:sz w:val="22"/>
          <w:szCs w:val="20"/>
          <w:highlight w:val="none"/>
          <w:lang w:val="en-US" w:eastAsia="zh-CN"/>
        </w:rPr>
        <w:t>3GPP TSG RAN1#106bis-e，2021-10</w:t>
      </w: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9"/>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4"/>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5"/>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6">
    <w:nsid w:val="5EA47307"/>
    <w:multiLevelType w:val="multilevel"/>
    <w:tmpl w:val="5EA4730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ind w:left="2310" w:hanging="51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624D01E8"/>
    <w:multiLevelType w:val="multilevel"/>
    <w:tmpl w:val="624D01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74752FA"/>
    <w:multiLevelType w:val="multilevel"/>
    <w:tmpl w:val="674752FA"/>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E841FF0"/>
    <w:multiLevelType w:val="multilevel"/>
    <w:tmpl w:val="6E841F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7ACAF378"/>
    <w:multiLevelType w:val="multilevel"/>
    <w:tmpl w:val="7ACAF378"/>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11"/>
  </w:num>
  <w:num w:numId="5">
    <w:abstractNumId w:val="1"/>
  </w:num>
  <w:num w:numId="6">
    <w:abstractNumId w:val="5"/>
  </w:num>
  <w:num w:numId="7">
    <w:abstractNumId w:val="4"/>
  </w:num>
  <w:num w:numId="8">
    <w:abstractNumId w:val="6"/>
  </w:num>
  <w:num w:numId="9">
    <w:abstractNumId w:val="9"/>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12E89"/>
    <w:rsid w:val="00013735"/>
    <w:rsid w:val="00015154"/>
    <w:rsid w:val="00015EDB"/>
    <w:rsid w:val="000206F5"/>
    <w:rsid w:val="00021A46"/>
    <w:rsid w:val="00026E93"/>
    <w:rsid w:val="00042E39"/>
    <w:rsid w:val="0004491B"/>
    <w:rsid w:val="00053611"/>
    <w:rsid w:val="00073C45"/>
    <w:rsid w:val="00074A3E"/>
    <w:rsid w:val="000759FE"/>
    <w:rsid w:val="00076C50"/>
    <w:rsid w:val="00084952"/>
    <w:rsid w:val="000A0061"/>
    <w:rsid w:val="000A6B3B"/>
    <w:rsid w:val="000B63CC"/>
    <w:rsid w:val="000C256E"/>
    <w:rsid w:val="000C7C50"/>
    <w:rsid w:val="000F65FF"/>
    <w:rsid w:val="000F72AD"/>
    <w:rsid w:val="0010617D"/>
    <w:rsid w:val="001506E9"/>
    <w:rsid w:val="00166DD7"/>
    <w:rsid w:val="001671FB"/>
    <w:rsid w:val="00172A27"/>
    <w:rsid w:val="0019443E"/>
    <w:rsid w:val="001B6A16"/>
    <w:rsid w:val="001C396E"/>
    <w:rsid w:val="001C40D9"/>
    <w:rsid w:val="00200427"/>
    <w:rsid w:val="002040EC"/>
    <w:rsid w:val="00204BEB"/>
    <w:rsid w:val="002254E5"/>
    <w:rsid w:val="0026734A"/>
    <w:rsid w:val="00272E7B"/>
    <w:rsid w:val="00291E13"/>
    <w:rsid w:val="00292BDC"/>
    <w:rsid w:val="00293C36"/>
    <w:rsid w:val="0029715B"/>
    <w:rsid w:val="002A1851"/>
    <w:rsid w:val="002A1E7D"/>
    <w:rsid w:val="002D4D40"/>
    <w:rsid w:val="002F25AA"/>
    <w:rsid w:val="00303048"/>
    <w:rsid w:val="00331EF2"/>
    <w:rsid w:val="00345EEA"/>
    <w:rsid w:val="00367434"/>
    <w:rsid w:val="00370C23"/>
    <w:rsid w:val="00371CBB"/>
    <w:rsid w:val="00375A07"/>
    <w:rsid w:val="00377BC5"/>
    <w:rsid w:val="00380742"/>
    <w:rsid w:val="00396ADB"/>
    <w:rsid w:val="003A103D"/>
    <w:rsid w:val="003B0BF8"/>
    <w:rsid w:val="003B1149"/>
    <w:rsid w:val="003B217C"/>
    <w:rsid w:val="003D1DD7"/>
    <w:rsid w:val="003E0305"/>
    <w:rsid w:val="003E4BBB"/>
    <w:rsid w:val="004265D0"/>
    <w:rsid w:val="00437B5E"/>
    <w:rsid w:val="00441FB9"/>
    <w:rsid w:val="00453986"/>
    <w:rsid w:val="0045623B"/>
    <w:rsid w:val="00461AA7"/>
    <w:rsid w:val="00462BD0"/>
    <w:rsid w:val="004952EA"/>
    <w:rsid w:val="00496216"/>
    <w:rsid w:val="004A5821"/>
    <w:rsid w:val="004C05FA"/>
    <w:rsid w:val="004C1151"/>
    <w:rsid w:val="004C20CB"/>
    <w:rsid w:val="004C5181"/>
    <w:rsid w:val="004C6C1E"/>
    <w:rsid w:val="004C7FE3"/>
    <w:rsid w:val="004E40C3"/>
    <w:rsid w:val="004F1990"/>
    <w:rsid w:val="004F342B"/>
    <w:rsid w:val="004F7324"/>
    <w:rsid w:val="00514701"/>
    <w:rsid w:val="00517339"/>
    <w:rsid w:val="005212D2"/>
    <w:rsid w:val="005228C9"/>
    <w:rsid w:val="00522A39"/>
    <w:rsid w:val="00554E95"/>
    <w:rsid w:val="005650A3"/>
    <w:rsid w:val="00566FDE"/>
    <w:rsid w:val="00570536"/>
    <w:rsid w:val="005802EF"/>
    <w:rsid w:val="00583697"/>
    <w:rsid w:val="00585CC3"/>
    <w:rsid w:val="0058704C"/>
    <w:rsid w:val="00597ADE"/>
    <w:rsid w:val="005A3177"/>
    <w:rsid w:val="005B065E"/>
    <w:rsid w:val="005D14DB"/>
    <w:rsid w:val="005E4C37"/>
    <w:rsid w:val="005F1A12"/>
    <w:rsid w:val="0062153B"/>
    <w:rsid w:val="0062167D"/>
    <w:rsid w:val="00633C6F"/>
    <w:rsid w:val="0063757E"/>
    <w:rsid w:val="006432A2"/>
    <w:rsid w:val="00643612"/>
    <w:rsid w:val="00645E5F"/>
    <w:rsid w:val="00677C91"/>
    <w:rsid w:val="006970AA"/>
    <w:rsid w:val="006A072C"/>
    <w:rsid w:val="006B3BB5"/>
    <w:rsid w:val="006B63E2"/>
    <w:rsid w:val="006C61BF"/>
    <w:rsid w:val="006D42B1"/>
    <w:rsid w:val="006F0B4C"/>
    <w:rsid w:val="007003FC"/>
    <w:rsid w:val="007040C1"/>
    <w:rsid w:val="00704D87"/>
    <w:rsid w:val="00711D48"/>
    <w:rsid w:val="00713810"/>
    <w:rsid w:val="007166E8"/>
    <w:rsid w:val="00737671"/>
    <w:rsid w:val="0074089D"/>
    <w:rsid w:val="007436B8"/>
    <w:rsid w:val="007476DD"/>
    <w:rsid w:val="00781710"/>
    <w:rsid w:val="007A0C1E"/>
    <w:rsid w:val="007A24B9"/>
    <w:rsid w:val="007B0734"/>
    <w:rsid w:val="007B379C"/>
    <w:rsid w:val="007B7F47"/>
    <w:rsid w:val="007C3C20"/>
    <w:rsid w:val="007C6A0A"/>
    <w:rsid w:val="007E5906"/>
    <w:rsid w:val="007F5FF3"/>
    <w:rsid w:val="007F6B9D"/>
    <w:rsid w:val="008026B7"/>
    <w:rsid w:val="00817DE9"/>
    <w:rsid w:val="0082263B"/>
    <w:rsid w:val="00830ED1"/>
    <w:rsid w:val="00856229"/>
    <w:rsid w:val="008632D8"/>
    <w:rsid w:val="008650A2"/>
    <w:rsid w:val="0087435E"/>
    <w:rsid w:val="008776C3"/>
    <w:rsid w:val="00880E89"/>
    <w:rsid w:val="00894AD9"/>
    <w:rsid w:val="008A0205"/>
    <w:rsid w:val="008A34F1"/>
    <w:rsid w:val="008B4981"/>
    <w:rsid w:val="008B7017"/>
    <w:rsid w:val="008B7DB1"/>
    <w:rsid w:val="008C72D3"/>
    <w:rsid w:val="008D1D47"/>
    <w:rsid w:val="008D230F"/>
    <w:rsid w:val="008D38A0"/>
    <w:rsid w:val="008D54B2"/>
    <w:rsid w:val="008E587D"/>
    <w:rsid w:val="008E617E"/>
    <w:rsid w:val="008F11DE"/>
    <w:rsid w:val="008F7C25"/>
    <w:rsid w:val="00924E2C"/>
    <w:rsid w:val="00930332"/>
    <w:rsid w:val="00931DD4"/>
    <w:rsid w:val="0093445B"/>
    <w:rsid w:val="009347F2"/>
    <w:rsid w:val="00953CDE"/>
    <w:rsid w:val="00955287"/>
    <w:rsid w:val="0096044C"/>
    <w:rsid w:val="00981D9F"/>
    <w:rsid w:val="0099436F"/>
    <w:rsid w:val="009944AA"/>
    <w:rsid w:val="009B64D0"/>
    <w:rsid w:val="009D1E4F"/>
    <w:rsid w:val="009E3CEF"/>
    <w:rsid w:val="00A027EF"/>
    <w:rsid w:val="00A02943"/>
    <w:rsid w:val="00A06031"/>
    <w:rsid w:val="00A14FF2"/>
    <w:rsid w:val="00A1727A"/>
    <w:rsid w:val="00A46CC4"/>
    <w:rsid w:val="00A57F9E"/>
    <w:rsid w:val="00A878AE"/>
    <w:rsid w:val="00A92636"/>
    <w:rsid w:val="00A941B0"/>
    <w:rsid w:val="00AA1F42"/>
    <w:rsid w:val="00AA6E04"/>
    <w:rsid w:val="00AD4752"/>
    <w:rsid w:val="00AF6EBE"/>
    <w:rsid w:val="00AF7C15"/>
    <w:rsid w:val="00B20627"/>
    <w:rsid w:val="00B640E8"/>
    <w:rsid w:val="00B75DE1"/>
    <w:rsid w:val="00B81A6F"/>
    <w:rsid w:val="00B97AAA"/>
    <w:rsid w:val="00BA715F"/>
    <w:rsid w:val="00BC22AE"/>
    <w:rsid w:val="00BC3D43"/>
    <w:rsid w:val="00BD6309"/>
    <w:rsid w:val="00BE5EFB"/>
    <w:rsid w:val="00BF1E7C"/>
    <w:rsid w:val="00BF1F78"/>
    <w:rsid w:val="00BF4B0E"/>
    <w:rsid w:val="00C039ED"/>
    <w:rsid w:val="00C134B6"/>
    <w:rsid w:val="00C137DB"/>
    <w:rsid w:val="00C166BC"/>
    <w:rsid w:val="00C239A8"/>
    <w:rsid w:val="00C2400A"/>
    <w:rsid w:val="00C27740"/>
    <w:rsid w:val="00C37341"/>
    <w:rsid w:val="00C447E1"/>
    <w:rsid w:val="00C569CC"/>
    <w:rsid w:val="00C637DC"/>
    <w:rsid w:val="00C86B16"/>
    <w:rsid w:val="00CA1DBD"/>
    <w:rsid w:val="00CA4A7A"/>
    <w:rsid w:val="00CB7131"/>
    <w:rsid w:val="00CC4532"/>
    <w:rsid w:val="00CC73C1"/>
    <w:rsid w:val="00CD1153"/>
    <w:rsid w:val="00CD3761"/>
    <w:rsid w:val="00D0138D"/>
    <w:rsid w:val="00D01D40"/>
    <w:rsid w:val="00D20A97"/>
    <w:rsid w:val="00D26B1F"/>
    <w:rsid w:val="00D40D43"/>
    <w:rsid w:val="00D5574F"/>
    <w:rsid w:val="00D62C07"/>
    <w:rsid w:val="00D70ECB"/>
    <w:rsid w:val="00DA5F51"/>
    <w:rsid w:val="00DB0ACF"/>
    <w:rsid w:val="00DC0F8B"/>
    <w:rsid w:val="00DD110B"/>
    <w:rsid w:val="00DD4B55"/>
    <w:rsid w:val="00E06B21"/>
    <w:rsid w:val="00E2140B"/>
    <w:rsid w:val="00E40E07"/>
    <w:rsid w:val="00E62A3D"/>
    <w:rsid w:val="00E67314"/>
    <w:rsid w:val="00E77887"/>
    <w:rsid w:val="00E85B8C"/>
    <w:rsid w:val="00EA4E8D"/>
    <w:rsid w:val="00EA62E5"/>
    <w:rsid w:val="00EA76D3"/>
    <w:rsid w:val="00EA7990"/>
    <w:rsid w:val="00EC0827"/>
    <w:rsid w:val="00EC7B40"/>
    <w:rsid w:val="00ED2E01"/>
    <w:rsid w:val="00EF1AAC"/>
    <w:rsid w:val="00F01154"/>
    <w:rsid w:val="00F07B8D"/>
    <w:rsid w:val="00F230BA"/>
    <w:rsid w:val="00F4095D"/>
    <w:rsid w:val="00F40E52"/>
    <w:rsid w:val="00F52B54"/>
    <w:rsid w:val="00F724AE"/>
    <w:rsid w:val="00F765F4"/>
    <w:rsid w:val="00F82E18"/>
    <w:rsid w:val="00F958CC"/>
    <w:rsid w:val="00F9692E"/>
    <w:rsid w:val="00F97C0B"/>
    <w:rsid w:val="00FA3BED"/>
    <w:rsid w:val="00FA552B"/>
    <w:rsid w:val="00FD2DE4"/>
    <w:rsid w:val="00FD43E6"/>
    <w:rsid w:val="00FE01EF"/>
    <w:rsid w:val="00FE1FEE"/>
    <w:rsid w:val="00FE4365"/>
    <w:rsid w:val="00FE6A52"/>
    <w:rsid w:val="00FF1383"/>
    <w:rsid w:val="00FF1E19"/>
    <w:rsid w:val="00FF2B35"/>
    <w:rsid w:val="01166C39"/>
    <w:rsid w:val="011F66EC"/>
    <w:rsid w:val="01307DB8"/>
    <w:rsid w:val="013C11C1"/>
    <w:rsid w:val="016921DF"/>
    <w:rsid w:val="01721849"/>
    <w:rsid w:val="01764F01"/>
    <w:rsid w:val="01986527"/>
    <w:rsid w:val="019E0494"/>
    <w:rsid w:val="01BC6EAA"/>
    <w:rsid w:val="01BD387A"/>
    <w:rsid w:val="01EA1306"/>
    <w:rsid w:val="01ED62FC"/>
    <w:rsid w:val="01FD3C72"/>
    <w:rsid w:val="02143BC9"/>
    <w:rsid w:val="022371D7"/>
    <w:rsid w:val="022949E6"/>
    <w:rsid w:val="024D6B6A"/>
    <w:rsid w:val="02585A0D"/>
    <w:rsid w:val="02675989"/>
    <w:rsid w:val="026B46B1"/>
    <w:rsid w:val="027028B5"/>
    <w:rsid w:val="029B04E7"/>
    <w:rsid w:val="02BD450C"/>
    <w:rsid w:val="02DB18C7"/>
    <w:rsid w:val="02E509B7"/>
    <w:rsid w:val="03073BDC"/>
    <w:rsid w:val="032134E9"/>
    <w:rsid w:val="033C601D"/>
    <w:rsid w:val="033F44DC"/>
    <w:rsid w:val="0369373C"/>
    <w:rsid w:val="036A5F21"/>
    <w:rsid w:val="037B5FB5"/>
    <w:rsid w:val="03915DEB"/>
    <w:rsid w:val="03985ACE"/>
    <w:rsid w:val="03D4716A"/>
    <w:rsid w:val="03DF7240"/>
    <w:rsid w:val="040C39E9"/>
    <w:rsid w:val="042900C9"/>
    <w:rsid w:val="042D73B3"/>
    <w:rsid w:val="0463140F"/>
    <w:rsid w:val="048B158B"/>
    <w:rsid w:val="04A45057"/>
    <w:rsid w:val="04EE0CCB"/>
    <w:rsid w:val="052158F3"/>
    <w:rsid w:val="0555228E"/>
    <w:rsid w:val="0560235A"/>
    <w:rsid w:val="056C3AED"/>
    <w:rsid w:val="05880629"/>
    <w:rsid w:val="058A1330"/>
    <w:rsid w:val="059D1E39"/>
    <w:rsid w:val="05AA36EC"/>
    <w:rsid w:val="05AD2B2B"/>
    <w:rsid w:val="05B20266"/>
    <w:rsid w:val="05B74685"/>
    <w:rsid w:val="05B8184A"/>
    <w:rsid w:val="05CB71A0"/>
    <w:rsid w:val="05E078B3"/>
    <w:rsid w:val="06297881"/>
    <w:rsid w:val="062C7C4D"/>
    <w:rsid w:val="064035FC"/>
    <w:rsid w:val="064B0133"/>
    <w:rsid w:val="065F2A28"/>
    <w:rsid w:val="06667FE6"/>
    <w:rsid w:val="06A6036E"/>
    <w:rsid w:val="06C16FCD"/>
    <w:rsid w:val="06C50D6A"/>
    <w:rsid w:val="06CA6D6A"/>
    <w:rsid w:val="06D63A85"/>
    <w:rsid w:val="06F24DE9"/>
    <w:rsid w:val="06F422A5"/>
    <w:rsid w:val="070C599D"/>
    <w:rsid w:val="07250881"/>
    <w:rsid w:val="072B5A2B"/>
    <w:rsid w:val="0756649B"/>
    <w:rsid w:val="07587973"/>
    <w:rsid w:val="077D0583"/>
    <w:rsid w:val="077E373B"/>
    <w:rsid w:val="079724D0"/>
    <w:rsid w:val="07A3082E"/>
    <w:rsid w:val="081C4670"/>
    <w:rsid w:val="082A1AEF"/>
    <w:rsid w:val="082A352F"/>
    <w:rsid w:val="084343C9"/>
    <w:rsid w:val="084C1F9E"/>
    <w:rsid w:val="085E406B"/>
    <w:rsid w:val="086110F8"/>
    <w:rsid w:val="088E2DBB"/>
    <w:rsid w:val="089D5DBC"/>
    <w:rsid w:val="08BF4143"/>
    <w:rsid w:val="08C349D1"/>
    <w:rsid w:val="08CC0D13"/>
    <w:rsid w:val="08D9139E"/>
    <w:rsid w:val="08E426A0"/>
    <w:rsid w:val="08F12651"/>
    <w:rsid w:val="09082337"/>
    <w:rsid w:val="0922520C"/>
    <w:rsid w:val="0924643E"/>
    <w:rsid w:val="093D6246"/>
    <w:rsid w:val="094A5FC4"/>
    <w:rsid w:val="095A224C"/>
    <w:rsid w:val="097944C3"/>
    <w:rsid w:val="09BE58C4"/>
    <w:rsid w:val="09EB6635"/>
    <w:rsid w:val="09F127BA"/>
    <w:rsid w:val="09F572B2"/>
    <w:rsid w:val="09F67CD5"/>
    <w:rsid w:val="0A0E381A"/>
    <w:rsid w:val="0A246428"/>
    <w:rsid w:val="0A2A3938"/>
    <w:rsid w:val="0A5F382C"/>
    <w:rsid w:val="0A691DAE"/>
    <w:rsid w:val="0A79084D"/>
    <w:rsid w:val="0A7E204B"/>
    <w:rsid w:val="0A8A3FFF"/>
    <w:rsid w:val="0A962192"/>
    <w:rsid w:val="0A9E4FA4"/>
    <w:rsid w:val="0AA07E35"/>
    <w:rsid w:val="0AA8618B"/>
    <w:rsid w:val="0AD81AB7"/>
    <w:rsid w:val="0AEC72C9"/>
    <w:rsid w:val="0AEE60A9"/>
    <w:rsid w:val="0AF10773"/>
    <w:rsid w:val="0B345335"/>
    <w:rsid w:val="0B3D5147"/>
    <w:rsid w:val="0B4C4207"/>
    <w:rsid w:val="0B6B20A7"/>
    <w:rsid w:val="0B9E71DF"/>
    <w:rsid w:val="0BB427D1"/>
    <w:rsid w:val="0BCD5C26"/>
    <w:rsid w:val="0C121D7C"/>
    <w:rsid w:val="0C3170EA"/>
    <w:rsid w:val="0C3747CA"/>
    <w:rsid w:val="0C3B60A5"/>
    <w:rsid w:val="0C6F272A"/>
    <w:rsid w:val="0C7D7A4D"/>
    <w:rsid w:val="0C9036C8"/>
    <w:rsid w:val="0C9C5347"/>
    <w:rsid w:val="0C9D30C2"/>
    <w:rsid w:val="0CA126F2"/>
    <w:rsid w:val="0CDC6CBE"/>
    <w:rsid w:val="0CEA509E"/>
    <w:rsid w:val="0D2F3891"/>
    <w:rsid w:val="0D420D39"/>
    <w:rsid w:val="0D8055AF"/>
    <w:rsid w:val="0D9D65F4"/>
    <w:rsid w:val="0DC2052A"/>
    <w:rsid w:val="0DC2550C"/>
    <w:rsid w:val="0DD64721"/>
    <w:rsid w:val="0DE37E6E"/>
    <w:rsid w:val="0E172BD0"/>
    <w:rsid w:val="0E1F3D3A"/>
    <w:rsid w:val="0E51177D"/>
    <w:rsid w:val="0E6641C9"/>
    <w:rsid w:val="0E6A1ECE"/>
    <w:rsid w:val="0E706A88"/>
    <w:rsid w:val="0E9B4F32"/>
    <w:rsid w:val="0EC029B2"/>
    <w:rsid w:val="0EC34966"/>
    <w:rsid w:val="0EED264A"/>
    <w:rsid w:val="0F0B4FFE"/>
    <w:rsid w:val="0F1E67DB"/>
    <w:rsid w:val="0F332EA5"/>
    <w:rsid w:val="0F6410B6"/>
    <w:rsid w:val="0F7B1220"/>
    <w:rsid w:val="0FA537B9"/>
    <w:rsid w:val="0FBF651E"/>
    <w:rsid w:val="0FD80B60"/>
    <w:rsid w:val="0FDB5B48"/>
    <w:rsid w:val="101E5C16"/>
    <w:rsid w:val="10765488"/>
    <w:rsid w:val="10860503"/>
    <w:rsid w:val="10A04E97"/>
    <w:rsid w:val="10A50104"/>
    <w:rsid w:val="10A85FA8"/>
    <w:rsid w:val="10B658BE"/>
    <w:rsid w:val="10BA5ACA"/>
    <w:rsid w:val="10FA22E3"/>
    <w:rsid w:val="111B65E7"/>
    <w:rsid w:val="112D69BC"/>
    <w:rsid w:val="11382B76"/>
    <w:rsid w:val="114F7258"/>
    <w:rsid w:val="115B3410"/>
    <w:rsid w:val="117A531D"/>
    <w:rsid w:val="119D7849"/>
    <w:rsid w:val="11AC1F75"/>
    <w:rsid w:val="11FF0632"/>
    <w:rsid w:val="12015F73"/>
    <w:rsid w:val="12225320"/>
    <w:rsid w:val="123625CC"/>
    <w:rsid w:val="1242135C"/>
    <w:rsid w:val="12421765"/>
    <w:rsid w:val="124E240F"/>
    <w:rsid w:val="127E2FBA"/>
    <w:rsid w:val="128C1D17"/>
    <w:rsid w:val="12AE3906"/>
    <w:rsid w:val="12B72EDD"/>
    <w:rsid w:val="12B87792"/>
    <w:rsid w:val="12C76FC6"/>
    <w:rsid w:val="12CB14EC"/>
    <w:rsid w:val="12D00DD7"/>
    <w:rsid w:val="12E217EC"/>
    <w:rsid w:val="12E8707C"/>
    <w:rsid w:val="132C3C11"/>
    <w:rsid w:val="13344428"/>
    <w:rsid w:val="133B357D"/>
    <w:rsid w:val="133C5CE2"/>
    <w:rsid w:val="13437897"/>
    <w:rsid w:val="136B0C42"/>
    <w:rsid w:val="136C3D77"/>
    <w:rsid w:val="139D335C"/>
    <w:rsid w:val="13A1683F"/>
    <w:rsid w:val="13A86CA9"/>
    <w:rsid w:val="14174D6A"/>
    <w:rsid w:val="143606FD"/>
    <w:rsid w:val="14400B3F"/>
    <w:rsid w:val="1442596B"/>
    <w:rsid w:val="144714E3"/>
    <w:rsid w:val="146A0337"/>
    <w:rsid w:val="14AC00B9"/>
    <w:rsid w:val="14B07FEA"/>
    <w:rsid w:val="14B3167C"/>
    <w:rsid w:val="14C464DD"/>
    <w:rsid w:val="14C520C7"/>
    <w:rsid w:val="14D55B5C"/>
    <w:rsid w:val="14DA3DA1"/>
    <w:rsid w:val="14E5350A"/>
    <w:rsid w:val="14E55E1D"/>
    <w:rsid w:val="14F7318F"/>
    <w:rsid w:val="14FC2402"/>
    <w:rsid w:val="15004805"/>
    <w:rsid w:val="1507769E"/>
    <w:rsid w:val="15177F36"/>
    <w:rsid w:val="151F05EE"/>
    <w:rsid w:val="152D65CC"/>
    <w:rsid w:val="154A0241"/>
    <w:rsid w:val="155D72B0"/>
    <w:rsid w:val="155F3495"/>
    <w:rsid w:val="15AD10C5"/>
    <w:rsid w:val="15AE3AA0"/>
    <w:rsid w:val="15BB7E2E"/>
    <w:rsid w:val="164B2296"/>
    <w:rsid w:val="1661088C"/>
    <w:rsid w:val="166812A2"/>
    <w:rsid w:val="167978ED"/>
    <w:rsid w:val="167D7945"/>
    <w:rsid w:val="16A16A0C"/>
    <w:rsid w:val="16D26CB7"/>
    <w:rsid w:val="17155857"/>
    <w:rsid w:val="173F5FA2"/>
    <w:rsid w:val="17950508"/>
    <w:rsid w:val="17A91FA7"/>
    <w:rsid w:val="17AE0EB6"/>
    <w:rsid w:val="17C72718"/>
    <w:rsid w:val="17D233AB"/>
    <w:rsid w:val="17F51F14"/>
    <w:rsid w:val="1800008E"/>
    <w:rsid w:val="181401BE"/>
    <w:rsid w:val="183B0AAC"/>
    <w:rsid w:val="18537599"/>
    <w:rsid w:val="1862427F"/>
    <w:rsid w:val="18673239"/>
    <w:rsid w:val="189C69D9"/>
    <w:rsid w:val="18C63DAE"/>
    <w:rsid w:val="18C87C77"/>
    <w:rsid w:val="18CA19F3"/>
    <w:rsid w:val="18E23292"/>
    <w:rsid w:val="18F90C9A"/>
    <w:rsid w:val="19010C43"/>
    <w:rsid w:val="19013AC7"/>
    <w:rsid w:val="19084C73"/>
    <w:rsid w:val="193931E0"/>
    <w:rsid w:val="194F6F37"/>
    <w:rsid w:val="19594292"/>
    <w:rsid w:val="196018AD"/>
    <w:rsid w:val="196E5824"/>
    <w:rsid w:val="19AF5AFD"/>
    <w:rsid w:val="19BF7943"/>
    <w:rsid w:val="1A054259"/>
    <w:rsid w:val="1A097942"/>
    <w:rsid w:val="1A0B05E0"/>
    <w:rsid w:val="1A412292"/>
    <w:rsid w:val="1A771A56"/>
    <w:rsid w:val="1A7A6A34"/>
    <w:rsid w:val="1A854FBA"/>
    <w:rsid w:val="1A913C48"/>
    <w:rsid w:val="1ACB6909"/>
    <w:rsid w:val="1B047364"/>
    <w:rsid w:val="1B202E49"/>
    <w:rsid w:val="1B2B6940"/>
    <w:rsid w:val="1B5838BD"/>
    <w:rsid w:val="1B5D237E"/>
    <w:rsid w:val="1B5E2BE8"/>
    <w:rsid w:val="1B7F6005"/>
    <w:rsid w:val="1B97692B"/>
    <w:rsid w:val="1BAA072E"/>
    <w:rsid w:val="1BAF4E35"/>
    <w:rsid w:val="1BAF6DD1"/>
    <w:rsid w:val="1BE82D8F"/>
    <w:rsid w:val="1C0A73C4"/>
    <w:rsid w:val="1C0F5C4A"/>
    <w:rsid w:val="1C132CB9"/>
    <w:rsid w:val="1C346C57"/>
    <w:rsid w:val="1C54047F"/>
    <w:rsid w:val="1C66370F"/>
    <w:rsid w:val="1C950569"/>
    <w:rsid w:val="1CAA2901"/>
    <w:rsid w:val="1CB1609A"/>
    <w:rsid w:val="1CC10209"/>
    <w:rsid w:val="1CCC26CA"/>
    <w:rsid w:val="1CCE0B33"/>
    <w:rsid w:val="1CE00B4A"/>
    <w:rsid w:val="1D133E21"/>
    <w:rsid w:val="1D227E33"/>
    <w:rsid w:val="1D2E3E98"/>
    <w:rsid w:val="1D37072D"/>
    <w:rsid w:val="1D371D90"/>
    <w:rsid w:val="1D5176E2"/>
    <w:rsid w:val="1D6041FB"/>
    <w:rsid w:val="1D7E5B1F"/>
    <w:rsid w:val="1D874E0A"/>
    <w:rsid w:val="1D8F6A87"/>
    <w:rsid w:val="1DA83A0D"/>
    <w:rsid w:val="1DDF2ACE"/>
    <w:rsid w:val="1E12109D"/>
    <w:rsid w:val="1E172F2A"/>
    <w:rsid w:val="1E1A3306"/>
    <w:rsid w:val="1E531E21"/>
    <w:rsid w:val="1E94181D"/>
    <w:rsid w:val="1E9D6342"/>
    <w:rsid w:val="1EBF09C1"/>
    <w:rsid w:val="1ECD4B11"/>
    <w:rsid w:val="1ED879BC"/>
    <w:rsid w:val="1EE513ED"/>
    <w:rsid w:val="1EEB255B"/>
    <w:rsid w:val="1EF17B6F"/>
    <w:rsid w:val="1F003E05"/>
    <w:rsid w:val="1F200780"/>
    <w:rsid w:val="1F211EAF"/>
    <w:rsid w:val="1F57700D"/>
    <w:rsid w:val="1F6170A9"/>
    <w:rsid w:val="1F6200DE"/>
    <w:rsid w:val="1F652C38"/>
    <w:rsid w:val="1F9C5BBE"/>
    <w:rsid w:val="1FA901B2"/>
    <w:rsid w:val="1FB46E22"/>
    <w:rsid w:val="1FCB2865"/>
    <w:rsid w:val="1FDC4A6F"/>
    <w:rsid w:val="1FE14460"/>
    <w:rsid w:val="1FFA58BB"/>
    <w:rsid w:val="200E7EB1"/>
    <w:rsid w:val="20200CA4"/>
    <w:rsid w:val="204E6676"/>
    <w:rsid w:val="205C6F65"/>
    <w:rsid w:val="205F334B"/>
    <w:rsid w:val="206E05C4"/>
    <w:rsid w:val="20AA7DFE"/>
    <w:rsid w:val="20B1293C"/>
    <w:rsid w:val="20BE790E"/>
    <w:rsid w:val="20CB576A"/>
    <w:rsid w:val="20DC4C14"/>
    <w:rsid w:val="20E02268"/>
    <w:rsid w:val="210634E6"/>
    <w:rsid w:val="211A5F94"/>
    <w:rsid w:val="21241A3D"/>
    <w:rsid w:val="21466977"/>
    <w:rsid w:val="215416B9"/>
    <w:rsid w:val="217A526D"/>
    <w:rsid w:val="2194141D"/>
    <w:rsid w:val="2195668B"/>
    <w:rsid w:val="219E5048"/>
    <w:rsid w:val="21A2535F"/>
    <w:rsid w:val="21A82E14"/>
    <w:rsid w:val="21AC0BE7"/>
    <w:rsid w:val="21B51FA5"/>
    <w:rsid w:val="21BA03B2"/>
    <w:rsid w:val="21BE5AD4"/>
    <w:rsid w:val="21CA2BAC"/>
    <w:rsid w:val="21E234BF"/>
    <w:rsid w:val="22102CFD"/>
    <w:rsid w:val="221D533E"/>
    <w:rsid w:val="224569E9"/>
    <w:rsid w:val="224E2FB0"/>
    <w:rsid w:val="224F2D9D"/>
    <w:rsid w:val="225D4766"/>
    <w:rsid w:val="226D6A7C"/>
    <w:rsid w:val="22991C30"/>
    <w:rsid w:val="229A4208"/>
    <w:rsid w:val="22C84A78"/>
    <w:rsid w:val="230665B0"/>
    <w:rsid w:val="23081A49"/>
    <w:rsid w:val="231321F2"/>
    <w:rsid w:val="2357045A"/>
    <w:rsid w:val="23A82A04"/>
    <w:rsid w:val="23B4417E"/>
    <w:rsid w:val="23DF1D43"/>
    <w:rsid w:val="23ED11E6"/>
    <w:rsid w:val="2402757E"/>
    <w:rsid w:val="240F65FA"/>
    <w:rsid w:val="24157543"/>
    <w:rsid w:val="24210188"/>
    <w:rsid w:val="24582DBC"/>
    <w:rsid w:val="245C52F8"/>
    <w:rsid w:val="245F1F1A"/>
    <w:rsid w:val="2463385E"/>
    <w:rsid w:val="247D5C5E"/>
    <w:rsid w:val="24B3612C"/>
    <w:rsid w:val="24DC7AA4"/>
    <w:rsid w:val="24DE538A"/>
    <w:rsid w:val="24E33025"/>
    <w:rsid w:val="250D568B"/>
    <w:rsid w:val="25134332"/>
    <w:rsid w:val="25191F5C"/>
    <w:rsid w:val="25392E72"/>
    <w:rsid w:val="254C3941"/>
    <w:rsid w:val="255047B4"/>
    <w:rsid w:val="257E508F"/>
    <w:rsid w:val="25A2067B"/>
    <w:rsid w:val="25AE25CB"/>
    <w:rsid w:val="25D65CBA"/>
    <w:rsid w:val="25DA236E"/>
    <w:rsid w:val="25E06614"/>
    <w:rsid w:val="25F85024"/>
    <w:rsid w:val="26044861"/>
    <w:rsid w:val="26460878"/>
    <w:rsid w:val="267A5E37"/>
    <w:rsid w:val="267E150F"/>
    <w:rsid w:val="269265F3"/>
    <w:rsid w:val="26BF5712"/>
    <w:rsid w:val="26C23A5E"/>
    <w:rsid w:val="26C46931"/>
    <w:rsid w:val="26C91856"/>
    <w:rsid w:val="26E13B13"/>
    <w:rsid w:val="26F173AA"/>
    <w:rsid w:val="26F24A28"/>
    <w:rsid w:val="26F71EC7"/>
    <w:rsid w:val="274120CE"/>
    <w:rsid w:val="275E2488"/>
    <w:rsid w:val="276D22A6"/>
    <w:rsid w:val="27805ED2"/>
    <w:rsid w:val="2785320B"/>
    <w:rsid w:val="279A0F8C"/>
    <w:rsid w:val="27AB7429"/>
    <w:rsid w:val="27B806C7"/>
    <w:rsid w:val="27F713BD"/>
    <w:rsid w:val="27FF6ABD"/>
    <w:rsid w:val="280D0ABD"/>
    <w:rsid w:val="282A01C9"/>
    <w:rsid w:val="28377D82"/>
    <w:rsid w:val="285C053E"/>
    <w:rsid w:val="28610A79"/>
    <w:rsid w:val="28641BC7"/>
    <w:rsid w:val="286E0D86"/>
    <w:rsid w:val="28706B14"/>
    <w:rsid w:val="28795D57"/>
    <w:rsid w:val="28CB2F20"/>
    <w:rsid w:val="28F230C1"/>
    <w:rsid w:val="290A7633"/>
    <w:rsid w:val="291D63B5"/>
    <w:rsid w:val="2945677B"/>
    <w:rsid w:val="29475AA4"/>
    <w:rsid w:val="295E1FCB"/>
    <w:rsid w:val="296A164B"/>
    <w:rsid w:val="296C266B"/>
    <w:rsid w:val="297276A7"/>
    <w:rsid w:val="2989005E"/>
    <w:rsid w:val="299711A3"/>
    <w:rsid w:val="299872DA"/>
    <w:rsid w:val="29AF6273"/>
    <w:rsid w:val="29E84AA9"/>
    <w:rsid w:val="29FA7F26"/>
    <w:rsid w:val="2A0F0262"/>
    <w:rsid w:val="2A11490E"/>
    <w:rsid w:val="2A585EA6"/>
    <w:rsid w:val="2A7903F8"/>
    <w:rsid w:val="2AB66193"/>
    <w:rsid w:val="2AD176E8"/>
    <w:rsid w:val="2AD42D05"/>
    <w:rsid w:val="2AEC59DE"/>
    <w:rsid w:val="2B056DF3"/>
    <w:rsid w:val="2B774832"/>
    <w:rsid w:val="2B7D182E"/>
    <w:rsid w:val="2B8D18CB"/>
    <w:rsid w:val="2B9E6345"/>
    <w:rsid w:val="2BAB522C"/>
    <w:rsid w:val="2BCE651D"/>
    <w:rsid w:val="2BE1364E"/>
    <w:rsid w:val="2BF926B1"/>
    <w:rsid w:val="2C5312D1"/>
    <w:rsid w:val="2C5F0A6F"/>
    <w:rsid w:val="2C7B3D53"/>
    <w:rsid w:val="2C967CA9"/>
    <w:rsid w:val="2C9B39D4"/>
    <w:rsid w:val="2C9B3C79"/>
    <w:rsid w:val="2CAD7ACE"/>
    <w:rsid w:val="2CB37B85"/>
    <w:rsid w:val="2CBD45BD"/>
    <w:rsid w:val="2CCE15EA"/>
    <w:rsid w:val="2CD80FC0"/>
    <w:rsid w:val="2CDB2A32"/>
    <w:rsid w:val="2CEC383D"/>
    <w:rsid w:val="2CF64D4A"/>
    <w:rsid w:val="2D036243"/>
    <w:rsid w:val="2D11052F"/>
    <w:rsid w:val="2D2713FE"/>
    <w:rsid w:val="2D2B4C13"/>
    <w:rsid w:val="2D615DC7"/>
    <w:rsid w:val="2D7F26F3"/>
    <w:rsid w:val="2D8909E1"/>
    <w:rsid w:val="2DA879EA"/>
    <w:rsid w:val="2DA974EB"/>
    <w:rsid w:val="2DAA1531"/>
    <w:rsid w:val="2DCA0802"/>
    <w:rsid w:val="2DD31482"/>
    <w:rsid w:val="2DD60B04"/>
    <w:rsid w:val="2DED4837"/>
    <w:rsid w:val="2DF81D7C"/>
    <w:rsid w:val="2DFC12C6"/>
    <w:rsid w:val="2E335DF1"/>
    <w:rsid w:val="2E4055BB"/>
    <w:rsid w:val="2E457B0F"/>
    <w:rsid w:val="2E4D5569"/>
    <w:rsid w:val="2E8778D1"/>
    <w:rsid w:val="2E9F709C"/>
    <w:rsid w:val="2EC929EB"/>
    <w:rsid w:val="2ED53BA8"/>
    <w:rsid w:val="2EE806DC"/>
    <w:rsid w:val="2EED0A13"/>
    <w:rsid w:val="2F031089"/>
    <w:rsid w:val="2F1251F2"/>
    <w:rsid w:val="2F1C1C80"/>
    <w:rsid w:val="2F28394C"/>
    <w:rsid w:val="2F5C7FDC"/>
    <w:rsid w:val="2FB869FE"/>
    <w:rsid w:val="2FB90ABA"/>
    <w:rsid w:val="2FBD09F9"/>
    <w:rsid w:val="2FD3502F"/>
    <w:rsid w:val="2FDC2DD9"/>
    <w:rsid w:val="2FEE1B76"/>
    <w:rsid w:val="2FFD76C8"/>
    <w:rsid w:val="3047070E"/>
    <w:rsid w:val="304D48EA"/>
    <w:rsid w:val="30660B82"/>
    <w:rsid w:val="30894922"/>
    <w:rsid w:val="30962F3E"/>
    <w:rsid w:val="309C01E8"/>
    <w:rsid w:val="309F648F"/>
    <w:rsid w:val="30A100DD"/>
    <w:rsid w:val="30AA51DE"/>
    <w:rsid w:val="30AD4F96"/>
    <w:rsid w:val="30B7114D"/>
    <w:rsid w:val="30D17E68"/>
    <w:rsid w:val="30D73545"/>
    <w:rsid w:val="30FF2795"/>
    <w:rsid w:val="310E3D65"/>
    <w:rsid w:val="31152DFA"/>
    <w:rsid w:val="311A6572"/>
    <w:rsid w:val="315E0C53"/>
    <w:rsid w:val="3164591C"/>
    <w:rsid w:val="318A2014"/>
    <w:rsid w:val="3199741D"/>
    <w:rsid w:val="31AA2223"/>
    <w:rsid w:val="31AC300B"/>
    <w:rsid w:val="31C57D60"/>
    <w:rsid w:val="31C63526"/>
    <w:rsid w:val="31CB33B3"/>
    <w:rsid w:val="32586AD3"/>
    <w:rsid w:val="32947E64"/>
    <w:rsid w:val="329A6ACE"/>
    <w:rsid w:val="32E01824"/>
    <w:rsid w:val="32F81B25"/>
    <w:rsid w:val="32FA799F"/>
    <w:rsid w:val="32FF2177"/>
    <w:rsid w:val="33317258"/>
    <w:rsid w:val="3334127B"/>
    <w:rsid w:val="33834A37"/>
    <w:rsid w:val="339C6811"/>
    <w:rsid w:val="33E044D4"/>
    <w:rsid w:val="34371266"/>
    <w:rsid w:val="345B1306"/>
    <w:rsid w:val="348D3D32"/>
    <w:rsid w:val="34AF19E9"/>
    <w:rsid w:val="34F47C40"/>
    <w:rsid w:val="34F9628E"/>
    <w:rsid w:val="350F2668"/>
    <w:rsid w:val="35182F26"/>
    <w:rsid w:val="35191B59"/>
    <w:rsid w:val="351A6B7E"/>
    <w:rsid w:val="35307116"/>
    <w:rsid w:val="353E165E"/>
    <w:rsid w:val="354C33D7"/>
    <w:rsid w:val="35523EED"/>
    <w:rsid w:val="35754305"/>
    <w:rsid w:val="35997ED3"/>
    <w:rsid w:val="35C47CF3"/>
    <w:rsid w:val="35D5780F"/>
    <w:rsid w:val="35E170EB"/>
    <w:rsid w:val="35EB16B9"/>
    <w:rsid w:val="360B1D73"/>
    <w:rsid w:val="360B7EE7"/>
    <w:rsid w:val="3617153E"/>
    <w:rsid w:val="361F3323"/>
    <w:rsid w:val="362669E3"/>
    <w:rsid w:val="364A298F"/>
    <w:rsid w:val="364A7B2B"/>
    <w:rsid w:val="365E20CE"/>
    <w:rsid w:val="36706620"/>
    <w:rsid w:val="36AB430D"/>
    <w:rsid w:val="36E93760"/>
    <w:rsid w:val="36EE0BD0"/>
    <w:rsid w:val="3748771D"/>
    <w:rsid w:val="3784394E"/>
    <w:rsid w:val="37C24AA8"/>
    <w:rsid w:val="37D63BFE"/>
    <w:rsid w:val="37D82787"/>
    <w:rsid w:val="37E21600"/>
    <w:rsid w:val="37E36339"/>
    <w:rsid w:val="37F25734"/>
    <w:rsid w:val="380A0B96"/>
    <w:rsid w:val="381B17BD"/>
    <w:rsid w:val="38337F5B"/>
    <w:rsid w:val="385135F5"/>
    <w:rsid w:val="38585684"/>
    <w:rsid w:val="385F665C"/>
    <w:rsid w:val="386B491E"/>
    <w:rsid w:val="387C301B"/>
    <w:rsid w:val="38A55C9D"/>
    <w:rsid w:val="38AC7CD6"/>
    <w:rsid w:val="38AE3BB0"/>
    <w:rsid w:val="38B750BD"/>
    <w:rsid w:val="38DC5505"/>
    <w:rsid w:val="391B45D8"/>
    <w:rsid w:val="391F7D60"/>
    <w:rsid w:val="39730892"/>
    <w:rsid w:val="39950A68"/>
    <w:rsid w:val="39DB06B3"/>
    <w:rsid w:val="39F55F6C"/>
    <w:rsid w:val="3A127976"/>
    <w:rsid w:val="3A1704BF"/>
    <w:rsid w:val="3A195F06"/>
    <w:rsid w:val="3AC253ED"/>
    <w:rsid w:val="3ACB5746"/>
    <w:rsid w:val="3AE826D9"/>
    <w:rsid w:val="3AEB3BFB"/>
    <w:rsid w:val="3AF372C5"/>
    <w:rsid w:val="3B047F30"/>
    <w:rsid w:val="3B200587"/>
    <w:rsid w:val="3B2808F4"/>
    <w:rsid w:val="3B321B7A"/>
    <w:rsid w:val="3B3664CC"/>
    <w:rsid w:val="3B673648"/>
    <w:rsid w:val="3B806AC0"/>
    <w:rsid w:val="3B877236"/>
    <w:rsid w:val="3B9C00BA"/>
    <w:rsid w:val="3B9E43C4"/>
    <w:rsid w:val="3BB20883"/>
    <w:rsid w:val="3BB556CE"/>
    <w:rsid w:val="3BCB7729"/>
    <w:rsid w:val="3BF5659F"/>
    <w:rsid w:val="3C026313"/>
    <w:rsid w:val="3C134C38"/>
    <w:rsid w:val="3C394599"/>
    <w:rsid w:val="3C416843"/>
    <w:rsid w:val="3C883E8C"/>
    <w:rsid w:val="3C8C0B9E"/>
    <w:rsid w:val="3C8D4667"/>
    <w:rsid w:val="3CCC5D22"/>
    <w:rsid w:val="3CE8063A"/>
    <w:rsid w:val="3CE82456"/>
    <w:rsid w:val="3D1D3E8C"/>
    <w:rsid w:val="3D260EF5"/>
    <w:rsid w:val="3D284AE7"/>
    <w:rsid w:val="3D606D86"/>
    <w:rsid w:val="3D7830E2"/>
    <w:rsid w:val="3D7C3F91"/>
    <w:rsid w:val="3D9F080E"/>
    <w:rsid w:val="3DA8275C"/>
    <w:rsid w:val="3DAD7029"/>
    <w:rsid w:val="3DC13280"/>
    <w:rsid w:val="3DDC2510"/>
    <w:rsid w:val="3DE03BDE"/>
    <w:rsid w:val="3DE84982"/>
    <w:rsid w:val="3DEB1626"/>
    <w:rsid w:val="3DF2214D"/>
    <w:rsid w:val="3DF61A50"/>
    <w:rsid w:val="3E144EA6"/>
    <w:rsid w:val="3E39525D"/>
    <w:rsid w:val="3E3C2599"/>
    <w:rsid w:val="3E441C7D"/>
    <w:rsid w:val="3E4F7F4F"/>
    <w:rsid w:val="3E6309C1"/>
    <w:rsid w:val="3E725711"/>
    <w:rsid w:val="3E7F0554"/>
    <w:rsid w:val="3EA6273C"/>
    <w:rsid w:val="3EBD1756"/>
    <w:rsid w:val="3EC80C98"/>
    <w:rsid w:val="3ECE0355"/>
    <w:rsid w:val="3ECF373D"/>
    <w:rsid w:val="3EDC3067"/>
    <w:rsid w:val="3F104E7C"/>
    <w:rsid w:val="3F1E19C9"/>
    <w:rsid w:val="3F466CB8"/>
    <w:rsid w:val="3F8D2B60"/>
    <w:rsid w:val="3FC956FF"/>
    <w:rsid w:val="3FF724F4"/>
    <w:rsid w:val="40010019"/>
    <w:rsid w:val="40156F68"/>
    <w:rsid w:val="40375763"/>
    <w:rsid w:val="404E70DC"/>
    <w:rsid w:val="406B12D1"/>
    <w:rsid w:val="408A7F2C"/>
    <w:rsid w:val="408F6710"/>
    <w:rsid w:val="40903A47"/>
    <w:rsid w:val="40A36A71"/>
    <w:rsid w:val="40AD707B"/>
    <w:rsid w:val="40CB3E39"/>
    <w:rsid w:val="40D07704"/>
    <w:rsid w:val="410E4736"/>
    <w:rsid w:val="41146F04"/>
    <w:rsid w:val="4155776E"/>
    <w:rsid w:val="4169226D"/>
    <w:rsid w:val="417B3C43"/>
    <w:rsid w:val="417B430E"/>
    <w:rsid w:val="419752E1"/>
    <w:rsid w:val="41A14CA0"/>
    <w:rsid w:val="41A82C0B"/>
    <w:rsid w:val="41A86959"/>
    <w:rsid w:val="41BA3F05"/>
    <w:rsid w:val="41BC286E"/>
    <w:rsid w:val="41C577BA"/>
    <w:rsid w:val="41D3631F"/>
    <w:rsid w:val="41F46181"/>
    <w:rsid w:val="41F466FD"/>
    <w:rsid w:val="41F51830"/>
    <w:rsid w:val="41F65687"/>
    <w:rsid w:val="422B0BD2"/>
    <w:rsid w:val="422E08E6"/>
    <w:rsid w:val="42534336"/>
    <w:rsid w:val="426A2878"/>
    <w:rsid w:val="4277435A"/>
    <w:rsid w:val="427E2C9C"/>
    <w:rsid w:val="428434A1"/>
    <w:rsid w:val="429B68D5"/>
    <w:rsid w:val="42A67A24"/>
    <w:rsid w:val="42AE4427"/>
    <w:rsid w:val="42B84DF7"/>
    <w:rsid w:val="42D846B9"/>
    <w:rsid w:val="43015D68"/>
    <w:rsid w:val="431B2B2D"/>
    <w:rsid w:val="432B156A"/>
    <w:rsid w:val="43366FA5"/>
    <w:rsid w:val="433817F8"/>
    <w:rsid w:val="435E0387"/>
    <w:rsid w:val="43625625"/>
    <w:rsid w:val="43650BC2"/>
    <w:rsid w:val="43E063B0"/>
    <w:rsid w:val="440D5045"/>
    <w:rsid w:val="444D3703"/>
    <w:rsid w:val="4456278E"/>
    <w:rsid w:val="446A209A"/>
    <w:rsid w:val="44B62C0D"/>
    <w:rsid w:val="44CA2C5B"/>
    <w:rsid w:val="44F5724A"/>
    <w:rsid w:val="45184B3B"/>
    <w:rsid w:val="45230E6C"/>
    <w:rsid w:val="4555581D"/>
    <w:rsid w:val="456122AD"/>
    <w:rsid w:val="45685959"/>
    <w:rsid w:val="4573779F"/>
    <w:rsid w:val="45BE6191"/>
    <w:rsid w:val="45BF679F"/>
    <w:rsid w:val="45DA647A"/>
    <w:rsid w:val="460C5979"/>
    <w:rsid w:val="46432F71"/>
    <w:rsid w:val="46497EA4"/>
    <w:rsid w:val="4677676F"/>
    <w:rsid w:val="469A0936"/>
    <w:rsid w:val="46AC250E"/>
    <w:rsid w:val="46C56CAD"/>
    <w:rsid w:val="46FF61C2"/>
    <w:rsid w:val="47220579"/>
    <w:rsid w:val="473430FD"/>
    <w:rsid w:val="47413760"/>
    <w:rsid w:val="47672D4D"/>
    <w:rsid w:val="47736575"/>
    <w:rsid w:val="47C01792"/>
    <w:rsid w:val="47C215CA"/>
    <w:rsid w:val="47CC1A53"/>
    <w:rsid w:val="47D3679D"/>
    <w:rsid w:val="47DA737E"/>
    <w:rsid w:val="47E73D60"/>
    <w:rsid w:val="47F831A1"/>
    <w:rsid w:val="48011CDC"/>
    <w:rsid w:val="4808150F"/>
    <w:rsid w:val="483841CB"/>
    <w:rsid w:val="48481427"/>
    <w:rsid w:val="48602835"/>
    <w:rsid w:val="48C169FF"/>
    <w:rsid w:val="48C93B48"/>
    <w:rsid w:val="48D321B5"/>
    <w:rsid w:val="48DC6BCF"/>
    <w:rsid w:val="48E54E18"/>
    <w:rsid w:val="49024A9A"/>
    <w:rsid w:val="492C0DED"/>
    <w:rsid w:val="493217F9"/>
    <w:rsid w:val="494C64A3"/>
    <w:rsid w:val="49701211"/>
    <w:rsid w:val="498972DF"/>
    <w:rsid w:val="49915A0B"/>
    <w:rsid w:val="49AA066D"/>
    <w:rsid w:val="49E9233D"/>
    <w:rsid w:val="4A0B14BC"/>
    <w:rsid w:val="4A0B6030"/>
    <w:rsid w:val="4A1B0A96"/>
    <w:rsid w:val="4A1D4537"/>
    <w:rsid w:val="4A2C54FD"/>
    <w:rsid w:val="4A350C7E"/>
    <w:rsid w:val="4A3C5602"/>
    <w:rsid w:val="4A8C0C9F"/>
    <w:rsid w:val="4A9D13C0"/>
    <w:rsid w:val="4A9F7D16"/>
    <w:rsid w:val="4AAD1944"/>
    <w:rsid w:val="4AAE28E3"/>
    <w:rsid w:val="4AC048FA"/>
    <w:rsid w:val="4AC31003"/>
    <w:rsid w:val="4AE93159"/>
    <w:rsid w:val="4AF34D72"/>
    <w:rsid w:val="4AF5388C"/>
    <w:rsid w:val="4AF670B5"/>
    <w:rsid w:val="4AF8354A"/>
    <w:rsid w:val="4AFB0B2B"/>
    <w:rsid w:val="4B0B4636"/>
    <w:rsid w:val="4B101FF1"/>
    <w:rsid w:val="4B370973"/>
    <w:rsid w:val="4B6F5171"/>
    <w:rsid w:val="4B894E29"/>
    <w:rsid w:val="4B8A38B7"/>
    <w:rsid w:val="4BD0339A"/>
    <w:rsid w:val="4BD035E6"/>
    <w:rsid w:val="4BDC3C7F"/>
    <w:rsid w:val="4BE255AD"/>
    <w:rsid w:val="4BE32270"/>
    <w:rsid w:val="4C002E47"/>
    <w:rsid w:val="4C10216C"/>
    <w:rsid w:val="4C246E30"/>
    <w:rsid w:val="4C247E4A"/>
    <w:rsid w:val="4C496DB3"/>
    <w:rsid w:val="4C51591E"/>
    <w:rsid w:val="4C733ED0"/>
    <w:rsid w:val="4C822C95"/>
    <w:rsid w:val="4C8E2AE9"/>
    <w:rsid w:val="4CDB174B"/>
    <w:rsid w:val="4CE936CA"/>
    <w:rsid w:val="4D111B37"/>
    <w:rsid w:val="4D2455C6"/>
    <w:rsid w:val="4D443B1E"/>
    <w:rsid w:val="4D45420C"/>
    <w:rsid w:val="4D462159"/>
    <w:rsid w:val="4D553300"/>
    <w:rsid w:val="4D5C5FAC"/>
    <w:rsid w:val="4D5D414A"/>
    <w:rsid w:val="4D6E28BD"/>
    <w:rsid w:val="4D740C7D"/>
    <w:rsid w:val="4D9B14C9"/>
    <w:rsid w:val="4DAE7EA4"/>
    <w:rsid w:val="4DC605B6"/>
    <w:rsid w:val="4DD563E5"/>
    <w:rsid w:val="4DDD0A15"/>
    <w:rsid w:val="4DEC0985"/>
    <w:rsid w:val="4E0F7529"/>
    <w:rsid w:val="4E27683A"/>
    <w:rsid w:val="4E417884"/>
    <w:rsid w:val="4E4B1B99"/>
    <w:rsid w:val="4EBE518F"/>
    <w:rsid w:val="4EF32FFF"/>
    <w:rsid w:val="4F232A9C"/>
    <w:rsid w:val="4F2765B1"/>
    <w:rsid w:val="4F276689"/>
    <w:rsid w:val="4F285975"/>
    <w:rsid w:val="4F2B7C79"/>
    <w:rsid w:val="4F5B26D8"/>
    <w:rsid w:val="4F5E2A8B"/>
    <w:rsid w:val="4F6672B7"/>
    <w:rsid w:val="4F8638C3"/>
    <w:rsid w:val="4FBF79AC"/>
    <w:rsid w:val="4FE05E94"/>
    <w:rsid w:val="4FE30CD5"/>
    <w:rsid w:val="4FF36751"/>
    <w:rsid w:val="50157844"/>
    <w:rsid w:val="50174E3D"/>
    <w:rsid w:val="50290C55"/>
    <w:rsid w:val="503F1FB3"/>
    <w:rsid w:val="50464A5C"/>
    <w:rsid w:val="50520EBB"/>
    <w:rsid w:val="50523A80"/>
    <w:rsid w:val="505C4109"/>
    <w:rsid w:val="50607024"/>
    <w:rsid w:val="50701CEF"/>
    <w:rsid w:val="50751061"/>
    <w:rsid w:val="507C5FAD"/>
    <w:rsid w:val="508309B0"/>
    <w:rsid w:val="50963391"/>
    <w:rsid w:val="509D0558"/>
    <w:rsid w:val="509D6E6E"/>
    <w:rsid w:val="50B30B1D"/>
    <w:rsid w:val="50BE2993"/>
    <w:rsid w:val="50CC7A70"/>
    <w:rsid w:val="50D63702"/>
    <w:rsid w:val="50DB512C"/>
    <w:rsid w:val="50E9726E"/>
    <w:rsid w:val="51101AA1"/>
    <w:rsid w:val="512F1290"/>
    <w:rsid w:val="513B1DC1"/>
    <w:rsid w:val="51796EDE"/>
    <w:rsid w:val="51867298"/>
    <w:rsid w:val="518D4602"/>
    <w:rsid w:val="51BD1691"/>
    <w:rsid w:val="51D24629"/>
    <w:rsid w:val="51EF506E"/>
    <w:rsid w:val="51F377AC"/>
    <w:rsid w:val="52011FBC"/>
    <w:rsid w:val="52195EDF"/>
    <w:rsid w:val="52313387"/>
    <w:rsid w:val="523E5A33"/>
    <w:rsid w:val="52461A4A"/>
    <w:rsid w:val="52480238"/>
    <w:rsid w:val="52676857"/>
    <w:rsid w:val="529357CD"/>
    <w:rsid w:val="529526FD"/>
    <w:rsid w:val="52A812A5"/>
    <w:rsid w:val="52B17C27"/>
    <w:rsid w:val="52C05823"/>
    <w:rsid w:val="52D4333A"/>
    <w:rsid w:val="52E04D27"/>
    <w:rsid w:val="53133FD1"/>
    <w:rsid w:val="53492294"/>
    <w:rsid w:val="53533799"/>
    <w:rsid w:val="53604AD1"/>
    <w:rsid w:val="536700DA"/>
    <w:rsid w:val="536E5770"/>
    <w:rsid w:val="537C5713"/>
    <w:rsid w:val="539860E1"/>
    <w:rsid w:val="539A390F"/>
    <w:rsid w:val="53B10B94"/>
    <w:rsid w:val="53C0401E"/>
    <w:rsid w:val="53DB3477"/>
    <w:rsid w:val="53EA6785"/>
    <w:rsid w:val="54344952"/>
    <w:rsid w:val="544251D8"/>
    <w:rsid w:val="544D6802"/>
    <w:rsid w:val="544E5CDA"/>
    <w:rsid w:val="546E2767"/>
    <w:rsid w:val="54856DF6"/>
    <w:rsid w:val="54AF6B42"/>
    <w:rsid w:val="54B205EE"/>
    <w:rsid w:val="54CB2F71"/>
    <w:rsid w:val="54DD50F3"/>
    <w:rsid w:val="54E218CB"/>
    <w:rsid w:val="54E44BF8"/>
    <w:rsid w:val="55050D67"/>
    <w:rsid w:val="559C3368"/>
    <w:rsid w:val="55D01CA2"/>
    <w:rsid w:val="55DD6F2A"/>
    <w:rsid w:val="55F72D1E"/>
    <w:rsid w:val="56022FBC"/>
    <w:rsid w:val="56144930"/>
    <w:rsid w:val="562805B1"/>
    <w:rsid w:val="56420B53"/>
    <w:rsid w:val="56553261"/>
    <w:rsid w:val="56590142"/>
    <w:rsid w:val="565975B0"/>
    <w:rsid w:val="567705C1"/>
    <w:rsid w:val="567F6A74"/>
    <w:rsid w:val="56974526"/>
    <w:rsid w:val="56B41A58"/>
    <w:rsid w:val="56BC356A"/>
    <w:rsid w:val="56D6408C"/>
    <w:rsid w:val="56DD5E57"/>
    <w:rsid w:val="56E23970"/>
    <w:rsid w:val="56F1138B"/>
    <w:rsid w:val="571E663E"/>
    <w:rsid w:val="572D7A6B"/>
    <w:rsid w:val="573547FD"/>
    <w:rsid w:val="57446A08"/>
    <w:rsid w:val="576A46B0"/>
    <w:rsid w:val="577A3C7D"/>
    <w:rsid w:val="578F220A"/>
    <w:rsid w:val="5798657F"/>
    <w:rsid w:val="57A70068"/>
    <w:rsid w:val="57CB3780"/>
    <w:rsid w:val="57D503EA"/>
    <w:rsid w:val="57E960E5"/>
    <w:rsid w:val="57FC07D9"/>
    <w:rsid w:val="58126C18"/>
    <w:rsid w:val="581A0C42"/>
    <w:rsid w:val="58243B6A"/>
    <w:rsid w:val="583F631A"/>
    <w:rsid w:val="58500F22"/>
    <w:rsid w:val="58581669"/>
    <w:rsid w:val="585C102F"/>
    <w:rsid w:val="58BE10DC"/>
    <w:rsid w:val="58C1549F"/>
    <w:rsid w:val="58CC1320"/>
    <w:rsid w:val="590D1052"/>
    <w:rsid w:val="591C0009"/>
    <w:rsid w:val="59425C63"/>
    <w:rsid w:val="59610A7F"/>
    <w:rsid w:val="59687D7F"/>
    <w:rsid w:val="598875A2"/>
    <w:rsid w:val="599F4D1B"/>
    <w:rsid w:val="59A17A3B"/>
    <w:rsid w:val="59A81F44"/>
    <w:rsid w:val="59AA2571"/>
    <w:rsid w:val="59B15F48"/>
    <w:rsid w:val="59C600B6"/>
    <w:rsid w:val="5A07523D"/>
    <w:rsid w:val="5A2249B7"/>
    <w:rsid w:val="5A3118CD"/>
    <w:rsid w:val="5A553984"/>
    <w:rsid w:val="5A604F52"/>
    <w:rsid w:val="5A6A0792"/>
    <w:rsid w:val="5A7C5BDE"/>
    <w:rsid w:val="5A906B6F"/>
    <w:rsid w:val="5AB47AE6"/>
    <w:rsid w:val="5ACF0F3A"/>
    <w:rsid w:val="5AD450DC"/>
    <w:rsid w:val="5ADE7AB0"/>
    <w:rsid w:val="5AE66434"/>
    <w:rsid w:val="5AEE752B"/>
    <w:rsid w:val="5AF84682"/>
    <w:rsid w:val="5B6B3557"/>
    <w:rsid w:val="5B7D506F"/>
    <w:rsid w:val="5BAD7067"/>
    <w:rsid w:val="5BD20414"/>
    <w:rsid w:val="5BEE55C3"/>
    <w:rsid w:val="5BF54BBF"/>
    <w:rsid w:val="5C242E7C"/>
    <w:rsid w:val="5C6B1600"/>
    <w:rsid w:val="5C921AD0"/>
    <w:rsid w:val="5C937791"/>
    <w:rsid w:val="5CB15523"/>
    <w:rsid w:val="5CCD5BE1"/>
    <w:rsid w:val="5CD94ADB"/>
    <w:rsid w:val="5CE45D66"/>
    <w:rsid w:val="5D031811"/>
    <w:rsid w:val="5D0D78CE"/>
    <w:rsid w:val="5D237020"/>
    <w:rsid w:val="5D3D3693"/>
    <w:rsid w:val="5D4312A5"/>
    <w:rsid w:val="5DAE151D"/>
    <w:rsid w:val="5DC07B62"/>
    <w:rsid w:val="5DC675EF"/>
    <w:rsid w:val="5DDF2D8F"/>
    <w:rsid w:val="5DE06CB8"/>
    <w:rsid w:val="5DEF2FB4"/>
    <w:rsid w:val="5DFD51DB"/>
    <w:rsid w:val="5E0D36E5"/>
    <w:rsid w:val="5E267ED0"/>
    <w:rsid w:val="5E4373D7"/>
    <w:rsid w:val="5E4A1ECD"/>
    <w:rsid w:val="5E5E56AD"/>
    <w:rsid w:val="5E7510E4"/>
    <w:rsid w:val="5EB67220"/>
    <w:rsid w:val="5EB744E8"/>
    <w:rsid w:val="5EBD3AB4"/>
    <w:rsid w:val="5EC35089"/>
    <w:rsid w:val="5ED47AC1"/>
    <w:rsid w:val="5ED711BC"/>
    <w:rsid w:val="5EE3670E"/>
    <w:rsid w:val="5F0A3BA8"/>
    <w:rsid w:val="5F3D3A73"/>
    <w:rsid w:val="5F434754"/>
    <w:rsid w:val="5F6314D9"/>
    <w:rsid w:val="5F9E52EF"/>
    <w:rsid w:val="5FA20858"/>
    <w:rsid w:val="5FDF3AD6"/>
    <w:rsid w:val="5FE87018"/>
    <w:rsid w:val="60000EEB"/>
    <w:rsid w:val="602765D8"/>
    <w:rsid w:val="605F1318"/>
    <w:rsid w:val="607C3753"/>
    <w:rsid w:val="608376A7"/>
    <w:rsid w:val="6095115E"/>
    <w:rsid w:val="609578A8"/>
    <w:rsid w:val="60C30855"/>
    <w:rsid w:val="60CC7FFA"/>
    <w:rsid w:val="60F634FF"/>
    <w:rsid w:val="610034EA"/>
    <w:rsid w:val="610B17E6"/>
    <w:rsid w:val="611B450D"/>
    <w:rsid w:val="611F412F"/>
    <w:rsid w:val="61281CD9"/>
    <w:rsid w:val="612E40A8"/>
    <w:rsid w:val="61421EFD"/>
    <w:rsid w:val="615C5041"/>
    <w:rsid w:val="61671735"/>
    <w:rsid w:val="616F3B04"/>
    <w:rsid w:val="61724303"/>
    <w:rsid w:val="618C79B5"/>
    <w:rsid w:val="61985354"/>
    <w:rsid w:val="619D094F"/>
    <w:rsid w:val="61D705BD"/>
    <w:rsid w:val="61E56B7B"/>
    <w:rsid w:val="62420984"/>
    <w:rsid w:val="62787BEF"/>
    <w:rsid w:val="628E4987"/>
    <w:rsid w:val="629404A7"/>
    <w:rsid w:val="62A623F0"/>
    <w:rsid w:val="62B61BB5"/>
    <w:rsid w:val="634B3A82"/>
    <w:rsid w:val="63826E5D"/>
    <w:rsid w:val="63932854"/>
    <w:rsid w:val="63B61D54"/>
    <w:rsid w:val="63D03DEE"/>
    <w:rsid w:val="64177D2F"/>
    <w:rsid w:val="641A2384"/>
    <w:rsid w:val="642167EE"/>
    <w:rsid w:val="6425534E"/>
    <w:rsid w:val="64BC525F"/>
    <w:rsid w:val="64CB6601"/>
    <w:rsid w:val="64DD6BA7"/>
    <w:rsid w:val="64DD7584"/>
    <w:rsid w:val="64EF3666"/>
    <w:rsid w:val="64FC1880"/>
    <w:rsid w:val="65060A68"/>
    <w:rsid w:val="651B3798"/>
    <w:rsid w:val="6553509D"/>
    <w:rsid w:val="6560268C"/>
    <w:rsid w:val="65763AD5"/>
    <w:rsid w:val="65793629"/>
    <w:rsid w:val="65811FA1"/>
    <w:rsid w:val="65847BBF"/>
    <w:rsid w:val="65973C9A"/>
    <w:rsid w:val="65B57404"/>
    <w:rsid w:val="65B93A8D"/>
    <w:rsid w:val="65BA4736"/>
    <w:rsid w:val="65E53C0B"/>
    <w:rsid w:val="65FC7C96"/>
    <w:rsid w:val="66021722"/>
    <w:rsid w:val="661746DD"/>
    <w:rsid w:val="664805B8"/>
    <w:rsid w:val="664A3D98"/>
    <w:rsid w:val="665D5B31"/>
    <w:rsid w:val="668670C3"/>
    <w:rsid w:val="668A0966"/>
    <w:rsid w:val="6697017C"/>
    <w:rsid w:val="66C053F3"/>
    <w:rsid w:val="66CD03F2"/>
    <w:rsid w:val="66D221EE"/>
    <w:rsid w:val="66DA55D7"/>
    <w:rsid w:val="66F82180"/>
    <w:rsid w:val="6736008B"/>
    <w:rsid w:val="67364713"/>
    <w:rsid w:val="673830A4"/>
    <w:rsid w:val="675169AF"/>
    <w:rsid w:val="677D25E8"/>
    <w:rsid w:val="67AC4F09"/>
    <w:rsid w:val="67AD7293"/>
    <w:rsid w:val="67BD0300"/>
    <w:rsid w:val="67F43985"/>
    <w:rsid w:val="68031C5B"/>
    <w:rsid w:val="6803641F"/>
    <w:rsid w:val="682616B3"/>
    <w:rsid w:val="683B03AD"/>
    <w:rsid w:val="684D34F9"/>
    <w:rsid w:val="685817E3"/>
    <w:rsid w:val="687118A3"/>
    <w:rsid w:val="689635C1"/>
    <w:rsid w:val="68A03B88"/>
    <w:rsid w:val="68E67FED"/>
    <w:rsid w:val="68F47466"/>
    <w:rsid w:val="68F533A3"/>
    <w:rsid w:val="690D7998"/>
    <w:rsid w:val="690F418B"/>
    <w:rsid w:val="69380961"/>
    <w:rsid w:val="69777F92"/>
    <w:rsid w:val="69942AF3"/>
    <w:rsid w:val="69B32313"/>
    <w:rsid w:val="69B71034"/>
    <w:rsid w:val="69CF01E3"/>
    <w:rsid w:val="6A1F7AE0"/>
    <w:rsid w:val="6A4954EA"/>
    <w:rsid w:val="6A4F4EB5"/>
    <w:rsid w:val="6A545476"/>
    <w:rsid w:val="6A5B4337"/>
    <w:rsid w:val="6A6168CE"/>
    <w:rsid w:val="6A741183"/>
    <w:rsid w:val="6A7A2736"/>
    <w:rsid w:val="6A7B4B9C"/>
    <w:rsid w:val="6A7D1450"/>
    <w:rsid w:val="6A9C6435"/>
    <w:rsid w:val="6AA651A8"/>
    <w:rsid w:val="6ABC67EB"/>
    <w:rsid w:val="6AC01AD3"/>
    <w:rsid w:val="6AE74316"/>
    <w:rsid w:val="6AEB121D"/>
    <w:rsid w:val="6AFB78C4"/>
    <w:rsid w:val="6B004CFA"/>
    <w:rsid w:val="6B120A68"/>
    <w:rsid w:val="6B1A4A81"/>
    <w:rsid w:val="6B1A60E7"/>
    <w:rsid w:val="6B586E1F"/>
    <w:rsid w:val="6B68339A"/>
    <w:rsid w:val="6B8C71F4"/>
    <w:rsid w:val="6B967F26"/>
    <w:rsid w:val="6BAF5652"/>
    <w:rsid w:val="6BB63909"/>
    <w:rsid w:val="6BD12588"/>
    <w:rsid w:val="6C334D0E"/>
    <w:rsid w:val="6C677C63"/>
    <w:rsid w:val="6C89456C"/>
    <w:rsid w:val="6C9602C1"/>
    <w:rsid w:val="6C9D4BF1"/>
    <w:rsid w:val="6CA35C83"/>
    <w:rsid w:val="6CA42AD4"/>
    <w:rsid w:val="6CA52710"/>
    <w:rsid w:val="6CAB1809"/>
    <w:rsid w:val="6CAC58B4"/>
    <w:rsid w:val="6D2A18FB"/>
    <w:rsid w:val="6D3341AD"/>
    <w:rsid w:val="6D4A2539"/>
    <w:rsid w:val="6D6D11C3"/>
    <w:rsid w:val="6D7D69E6"/>
    <w:rsid w:val="6D8154C7"/>
    <w:rsid w:val="6D97094D"/>
    <w:rsid w:val="6DEF1FEA"/>
    <w:rsid w:val="6DF009F6"/>
    <w:rsid w:val="6E0261C9"/>
    <w:rsid w:val="6E135289"/>
    <w:rsid w:val="6E1E4A6A"/>
    <w:rsid w:val="6E217EA6"/>
    <w:rsid w:val="6E2666BC"/>
    <w:rsid w:val="6E2D2150"/>
    <w:rsid w:val="6E2F175D"/>
    <w:rsid w:val="6E345FB2"/>
    <w:rsid w:val="6E6C6C8A"/>
    <w:rsid w:val="6E826F21"/>
    <w:rsid w:val="6E885114"/>
    <w:rsid w:val="6E8959F5"/>
    <w:rsid w:val="6EB93795"/>
    <w:rsid w:val="6EBC6999"/>
    <w:rsid w:val="6ECC4A53"/>
    <w:rsid w:val="6EDF5FC3"/>
    <w:rsid w:val="6EF90D33"/>
    <w:rsid w:val="6F040322"/>
    <w:rsid w:val="6F154E85"/>
    <w:rsid w:val="6F1A17AD"/>
    <w:rsid w:val="6F3F60AD"/>
    <w:rsid w:val="6F4B4600"/>
    <w:rsid w:val="6F68759F"/>
    <w:rsid w:val="6F7A5D4F"/>
    <w:rsid w:val="6F901B66"/>
    <w:rsid w:val="6FA629D4"/>
    <w:rsid w:val="6FA70F58"/>
    <w:rsid w:val="6FBF0064"/>
    <w:rsid w:val="6FCC315E"/>
    <w:rsid w:val="6FD10552"/>
    <w:rsid w:val="70014D67"/>
    <w:rsid w:val="70117B8A"/>
    <w:rsid w:val="70182472"/>
    <w:rsid w:val="70250583"/>
    <w:rsid w:val="7031228A"/>
    <w:rsid w:val="70360B36"/>
    <w:rsid w:val="704F39D7"/>
    <w:rsid w:val="70A263C7"/>
    <w:rsid w:val="70BB2EF0"/>
    <w:rsid w:val="70BD4AFE"/>
    <w:rsid w:val="70C13360"/>
    <w:rsid w:val="70C63035"/>
    <w:rsid w:val="70CC6A1F"/>
    <w:rsid w:val="70CE0A84"/>
    <w:rsid w:val="70E10DC3"/>
    <w:rsid w:val="70F054AD"/>
    <w:rsid w:val="71095983"/>
    <w:rsid w:val="71113748"/>
    <w:rsid w:val="712A7E5A"/>
    <w:rsid w:val="712D59A6"/>
    <w:rsid w:val="71475ADB"/>
    <w:rsid w:val="71587FBA"/>
    <w:rsid w:val="717B3987"/>
    <w:rsid w:val="718321D2"/>
    <w:rsid w:val="71D55C91"/>
    <w:rsid w:val="71DE13EC"/>
    <w:rsid w:val="71E5654D"/>
    <w:rsid w:val="71F52DDC"/>
    <w:rsid w:val="71F65017"/>
    <w:rsid w:val="720D2EEE"/>
    <w:rsid w:val="722B37CD"/>
    <w:rsid w:val="72305A9A"/>
    <w:rsid w:val="72427DB1"/>
    <w:rsid w:val="725B1A7B"/>
    <w:rsid w:val="726B260D"/>
    <w:rsid w:val="72966EEA"/>
    <w:rsid w:val="729A2B25"/>
    <w:rsid w:val="72A14A83"/>
    <w:rsid w:val="72E54C8A"/>
    <w:rsid w:val="72F773B2"/>
    <w:rsid w:val="73205B5A"/>
    <w:rsid w:val="73256782"/>
    <w:rsid w:val="73300A9B"/>
    <w:rsid w:val="7331324E"/>
    <w:rsid w:val="733E5EE2"/>
    <w:rsid w:val="73455C21"/>
    <w:rsid w:val="737017FB"/>
    <w:rsid w:val="73710635"/>
    <w:rsid w:val="738265E9"/>
    <w:rsid w:val="739F4D47"/>
    <w:rsid w:val="73D425F7"/>
    <w:rsid w:val="73D8507D"/>
    <w:rsid w:val="74053395"/>
    <w:rsid w:val="74166BFD"/>
    <w:rsid w:val="742C3AAC"/>
    <w:rsid w:val="74340814"/>
    <w:rsid w:val="74600E53"/>
    <w:rsid w:val="746103C4"/>
    <w:rsid w:val="746A0CB1"/>
    <w:rsid w:val="74712AFB"/>
    <w:rsid w:val="7497007E"/>
    <w:rsid w:val="749C57C8"/>
    <w:rsid w:val="74A21476"/>
    <w:rsid w:val="74A31B48"/>
    <w:rsid w:val="74A91CFB"/>
    <w:rsid w:val="74BC1C78"/>
    <w:rsid w:val="74C418BA"/>
    <w:rsid w:val="74F145D5"/>
    <w:rsid w:val="74F42375"/>
    <w:rsid w:val="750A2023"/>
    <w:rsid w:val="75171C24"/>
    <w:rsid w:val="751811CC"/>
    <w:rsid w:val="751833E2"/>
    <w:rsid w:val="75204EFC"/>
    <w:rsid w:val="75342389"/>
    <w:rsid w:val="75646A62"/>
    <w:rsid w:val="758D04C2"/>
    <w:rsid w:val="75AD0CCB"/>
    <w:rsid w:val="75CA56B8"/>
    <w:rsid w:val="75E41394"/>
    <w:rsid w:val="75E51C3B"/>
    <w:rsid w:val="75F6182E"/>
    <w:rsid w:val="76103D6A"/>
    <w:rsid w:val="7615032B"/>
    <w:rsid w:val="76655349"/>
    <w:rsid w:val="766B5B57"/>
    <w:rsid w:val="7676736A"/>
    <w:rsid w:val="768B7F61"/>
    <w:rsid w:val="768F29EE"/>
    <w:rsid w:val="769272B8"/>
    <w:rsid w:val="76933951"/>
    <w:rsid w:val="76D53202"/>
    <w:rsid w:val="76E84B5C"/>
    <w:rsid w:val="771D661B"/>
    <w:rsid w:val="771F7714"/>
    <w:rsid w:val="77207795"/>
    <w:rsid w:val="773903BD"/>
    <w:rsid w:val="773F662A"/>
    <w:rsid w:val="774C693B"/>
    <w:rsid w:val="77870064"/>
    <w:rsid w:val="77890DAA"/>
    <w:rsid w:val="77A12A72"/>
    <w:rsid w:val="77D835AD"/>
    <w:rsid w:val="77F84922"/>
    <w:rsid w:val="78297D53"/>
    <w:rsid w:val="784A5BD4"/>
    <w:rsid w:val="784E332E"/>
    <w:rsid w:val="786D1680"/>
    <w:rsid w:val="78782A0D"/>
    <w:rsid w:val="787864E0"/>
    <w:rsid w:val="78796A1E"/>
    <w:rsid w:val="789949C4"/>
    <w:rsid w:val="78C57EA9"/>
    <w:rsid w:val="78E00A2D"/>
    <w:rsid w:val="791A571A"/>
    <w:rsid w:val="791D392C"/>
    <w:rsid w:val="79286132"/>
    <w:rsid w:val="797D26C1"/>
    <w:rsid w:val="798A015A"/>
    <w:rsid w:val="79A2171F"/>
    <w:rsid w:val="79A252FF"/>
    <w:rsid w:val="79B77412"/>
    <w:rsid w:val="79BA12F4"/>
    <w:rsid w:val="79BA29A0"/>
    <w:rsid w:val="79D33056"/>
    <w:rsid w:val="79E119BE"/>
    <w:rsid w:val="79EF04A0"/>
    <w:rsid w:val="7A0632B0"/>
    <w:rsid w:val="7A08003C"/>
    <w:rsid w:val="7A124C14"/>
    <w:rsid w:val="7A475E69"/>
    <w:rsid w:val="7A810C37"/>
    <w:rsid w:val="7AAF1331"/>
    <w:rsid w:val="7ABB10EE"/>
    <w:rsid w:val="7AD3700D"/>
    <w:rsid w:val="7AE8742F"/>
    <w:rsid w:val="7B08110B"/>
    <w:rsid w:val="7B105707"/>
    <w:rsid w:val="7B302E56"/>
    <w:rsid w:val="7B350C9D"/>
    <w:rsid w:val="7B8D0753"/>
    <w:rsid w:val="7B9741C7"/>
    <w:rsid w:val="7BD27B88"/>
    <w:rsid w:val="7BEA73CB"/>
    <w:rsid w:val="7C0D0CA8"/>
    <w:rsid w:val="7C155B16"/>
    <w:rsid w:val="7C26369C"/>
    <w:rsid w:val="7C2921DB"/>
    <w:rsid w:val="7C311CA7"/>
    <w:rsid w:val="7C3933DF"/>
    <w:rsid w:val="7C4A37AF"/>
    <w:rsid w:val="7C5D06F9"/>
    <w:rsid w:val="7C750C27"/>
    <w:rsid w:val="7C8658B0"/>
    <w:rsid w:val="7C9E5A24"/>
    <w:rsid w:val="7CAC00CB"/>
    <w:rsid w:val="7CBE2557"/>
    <w:rsid w:val="7CDF019F"/>
    <w:rsid w:val="7D022178"/>
    <w:rsid w:val="7D0C40E0"/>
    <w:rsid w:val="7D163353"/>
    <w:rsid w:val="7D1A2DAF"/>
    <w:rsid w:val="7D344912"/>
    <w:rsid w:val="7D575412"/>
    <w:rsid w:val="7D6007BC"/>
    <w:rsid w:val="7D62117D"/>
    <w:rsid w:val="7D7E5CB0"/>
    <w:rsid w:val="7D83197B"/>
    <w:rsid w:val="7DA65228"/>
    <w:rsid w:val="7DB3208B"/>
    <w:rsid w:val="7DB5193A"/>
    <w:rsid w:val="7DB54254"/>
    <w:rsid w:val="7DD57EA0"/>
    <w:rsid w:val="7DFC2BEF"/>
    <w:rsid w:val="7E056EE8"/>
    <w:rsid w:val="7E3229FC"/>
    <w:rsid w:val="7E3E1EF2"/>
    <w:rsid w:val="7E536EFC"/>
    <w:rsid w:val="7E951513"/>
    <w:rsid w:val="7EB06086"/>
    <w:rsid w:val="7EBA3DA2"/>
    <w:rsid w:val="7EC83404"/>
    <w:rsid w:val="7EF74FC9"/>
    <w:rsid w:val="7F450473"/>
    <w:rsid w:val="7F5A59DA"/>
    <w:rsid w:val="7F5E24C7"/>
    <w:rsid w:val="7F750737"/>
    <w:rsid w:val="7F7C191A"/>
    <w:rsid w:val="7F846976"/>
    <w:rsid w:val="7FB068DE"/>
    <w:rsid w:val="7FB901DB"/>
    <w:rsid w:val="7FBB72CB"/>
    <w:rsid w:val="7FCB0E8D"/>
    <w:rsid w:val="7FE268BA"/>
    <w:rsid w:val="7FE51ED8"/>
    <w:rsid w:val="7FEB4F57"/>
    <w:rsid w:val="7FF7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1701"/>
        <w:tab w:val="right" w:pos="9639"/>
      </w:tabs>
      <w:outlineLvl w:val="0"/>
    </w:pPr>
    <w:rPr>
      <w:rFonts w:ascii="Arial" w:hAnsi="Arial" w:eastAsia="MS Mincho"/>
      <w:sz w:val="32"/>
    </w:rPr>
  </w:style>
  <w:style w:type="paragraph" w:styleId="4">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qFormat/>
    <w:uiPriority w:val="0"/>
    <w:pPr>
      <w:numPr>
        <w:ilvl w:val="2"/>
      </w:numPr>
      <w:spacing w:before="120"/>
      <w:outlineLvl w:val="2"/>
    </w:pPr>
    <w:rPr>
      <w:sz w:val="24"/>
    </w:rPr>
  </w:style>
  <w:style w:type="paragraph" w:styleId="6">
    <w:name w:val="heading 4"/>
    <w:basedOn w:val="1"/>
    <w:next w:val="1"/>
    <w:link w:val="61"/>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7">
    <w:name w:val="annotation text"/>
    <w:basedOn w:val="1"/>
    <w:link w:val="41"/>
    <w:semiHidden/>
    <w:qFormat/>
    <w:uiPriority w:val="0"/>
  </w:style>
  <w:style w:type="paragraph" w:styleId="8">
    <w:name w:val="Body Text"/>
    <w:basedOn w:val="1"/>
    <w:qFormat/>
    <w:uiPriority w:val="0"/>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40"/>
    <w:semiHidden/>
    <w:unhideWhenUsed/>
    <w:qFormat/>
    <w:uiPriority w:val="99"/>
    <w:pPr>
      <w:spacing w:before="0" w:after="0" w:line="240" w:lineRule="auto"/>
    </w:pPr>
    <w:rPr>
      <w:rFonts w:ascii="Microsoft YaHei UI" w:eastAsia="Microsoft YaHei UI"/>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link w:val="43"/>
    <w:semiHidden/>
    <w:qFormat/>
    <w:uiPriority w:val="0"/>
    <w:pPr>
      <w:tabs>
        <w:tab w:val="center" w:pos="4680"/>
        <w:tab w:val="right" w:pos="9360"/>
      </w:tabs>
      <w:spacing w:before="0" w:after="0" w:line="240" w:lineRule="auto"/>
    </w:pPr>
  </w:style>
  <w:style w:type="paragraph" w:styleId="13">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unhideWhenUsed/>
    <w:qFormat/>
    <w:uiPriority w:val="99"/>
    <w:pPr>
      <w:spacing w:after="0"/>
      <w:jc w:val="left"/>
    </w:pPr>
    <w:rPr>
      <w:rFonts w:ascii="宋体" w:hAnsi="宋体" w:cs="宋体"/>
      <w:sz w:val="24"/>
      <w:szCs w:val="24"/>
    </w:rPr>
  </w:style>
  <w:style w:type="paragraph" w:styleId="17">
    <w:name w:val="annotation subject"/>
    <w:basedOn w:val="7"/>
    <w:next w:val="7"/>
    <w:link w:val="42"/>
    <w:semiHidden/>
    <w:unhideWhenUsed/>
    <w:qFormat/>
    <w:uiPriority w:val="99"/>
    <w:pPr>
      <w:spacing w:line="240" w:lineRule="auto"/>
    </w:pPr>
    <w:rPr>
      <w:b/>
      <w:bCs/>
      <w:sz w:val="20"/>
    </w:rPr>
  </w:style>
  <w:style w:type="table" w:styleId="19">
    <w:name w:val="Table Grid"/>
    <w:basedOn w:val="1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
    <w:name w:val="Strong"/>
    <w:basedOn w:val="20"/>
    <w:qFormat/>
    <w:uiPriority w:val="99"/>
    <w:rPr>
      <w:b/>
      <w:sz w:val="20"/>
      <w:szCs w:val="20"/>
      <w:shd w:val="clear" w:color="auto" w:fill="00A65A"/>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shd w:val="clear" w:color="auto" w:fill="FFFFFF"/>
    </w:rPr>
  </w:style>
  <w:style w:type="character" w:styleId="24">
    <w:name w:val="Hyperlink"/>
    <w:basedOn w:val="20"/>
    <w:unhideWhenUsed/>
    <w:qFormat/>
    <w:uiPriority w:val="99"/>
    <w:rPr>
      <w:color w:val="409EFF"/>
      <w:u w:val="none"/>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16"/>
      <w:szCs w:val="16"/>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paragraph" w:customStyle="1" w:styleId="29">
    <w:name w:val="YJ-Observation"/>
    <w:basedOn w:val="30"/>
    <w:qFormat/>
    <w:uiPriority w:val="0"/>
    <w:pPr>
      <w:numPr>
        <w:ilvl w:val="0"/>
        <w:numId w:val="2"/>
      </w:numPr>
      <w:tabs>
        <w:tab w:val="left" w:pos="420"/>
      </w:tabs>
    </w:pPr>
  </w:style>
  <w:style w:type="paragraph" w:customStyle="1" w:styleId="30">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apple-converted-space"/>
    <w:basedOn w:val="20"/>
    <w:qFormat/>
    <w:uiPriority w:val="0"/>
  </w:style>
  <w:style w:type="character" w:customStyle="1" w:styleId="40">
    <w:name w:val="批注框文本 Char"/>
    <w:basedOn w:val="20"/>
    <w:link w:val="10"/>
    <w:semiHidden/>
    <w:qFormat/>
    <w:uiPriority w:val="99"/>
    <w:rPr>
      <w:rFonts w:ascii="Microsoft YaHei UI" w:eastAsia="Microsoft YaHei UI"/>
      <w:kern w:val="2"/>
      <w:sz w:val="18"/>
      <w:szCs w:val="18"/>
    </w:rPr>
  </w:style>
  <w:style w:type="character" w:customStyle="1" w:styleId="41">
    <w:name w:val="批注文字 Char"/>
    <w:basedOn w:val="20"/>
    <w:link w:val="7"/>
    <w:semiHidden/>
    <w:qFormat/>
    <w:uiPriority w:val="0"/>
    <w:rPr>
      <w:kern w:val="2"/>
      <w:sz w:val="21"/>
    </w:rPr>
  </w:style>
  <w:style w:type="character" w:customStyle="1" w:styleId="42">
    <w:name w:val="批注主题 Char"/>
    <w:basedOn w:val="41"/>
    <w:link w:val="17"/>
    <w:semiHidden/>
    <w:qFormat/>
    <w:uiPriority w:val="99"/>
    <w:rPr>
      <w:b/>
      <w:bCs/>
      <w:kern w:val="2"/>
      <w:sz w:val="21"/>
    </w:rPr>
  </w:style>
  <w:style w:type="character" w:customStyle="1" w:styleId="43">
    <w:name w:val="页眉 Char"/>
    <w:basedOn w:val="20"/>
    <w:link w:val="12"/>
    <w:semiHidden/>
    <w:qFormat/>
    <w:uiPriority w:val="0"/>
    <w:rPr>
      <w:kern w:val="2"/>
      <w:sz w:val="21"/>
    </w:rPr>
  </w:style>
  <w:style w:type="character" w:customStyle="1" w:styleId="44">
    <w:name w:val="badge58"/>
    <w:basedOn w:val="20"/>
    <w:qFormat/>
    <w:uiPriority w:val="0"/>
    <w:rPr>
      <w:b/>
      <w:color w:val="FFFFFF"/>
      <w:sz w:val="24"/>
      <w:szCs w:val="24"/>
      <w:shd w:val="clear" w:color="auto" w:fill="001F3F"/>
    </w:rPr>
  </w:style>
  <w:style w:type="character" w:customStyle="1" w:styleId="45">
    <w:name w:val="hover16"/>
    <w:basedOn w:val="20"/>
    <w:qFormat/>
    <w:uiPriority w:val="0"/>
    <w:rPr>
      <w:shd w:val="clear" w:color="auto" w:fill="EEEEEE"/>
    </w:rPr>
  </w:style>
  <w:style w:type="character" w:customStyle="1" w:styleId="46">
    <w:name w:val="active3"/>
    <w:basedOn w:val="20"/>
    <w:qFormat/>
    <w:uiPriority w:val="0"/>
    <w:rPr>
      <w:color w:val="FFFFFF"/>
      <w:shd w:val="clear" w:color="auto" w:fill="006DCC"/>
    </w:rPr>
  </w:style>
  <w:style w:type="character" w:customStyle="1" w:styleId="47">
    <w:name w:val="old"/>
    <w:basedOn w:val="20"/>
    <w:qFormat/>
    <w:uiPriority w:val="0"/>
    <w:rPr>
      <w:color w:val="999999"/>
    </w:rPr>
  </w:style>
  <w:style w:type="character" w:customStyle="1" w:styleId="48">
    <w:name w:val="via1"/>
    <w:basedOn w:val="20"/>
    <w:qFormat/>
    <w:uiPriority w:val="0"/>
    <w:rPr>
      <w:color w:val="959595"/>
    </w:rPr>
  </w:style>
  <w:style w:type="character" w:customStyle="1" w:styleId="49">
    <w:name w:val="keyword1"/>
    <w:basedOn w:val="20"/>
    <w:qFormat/>
    <w:uiPriority w:val="0"/>
  </w:style>
  <w:style w:type="character" w:customStyle="1" w:styleId="50">
    <w:name w:val="badge57"/>
    <w:basedOn w:val="20"/>
    <w:qFormat/>
    <w:uiPriority w:val="0"/>
    <w:rPr>
      <w:b/>
      <w:color w:val="FFFFFF"/>
      <w:sz w:val="24"/>
      <w:szCs w:val="24"/>
      <w:shd w:val="clear" w:color="auto" w:fill="001F3F"/>
    </w:rPr>
  </w:style>
  <w:style w:type="character" w:customStyle="1" w:styleId="51">
    <w:name w:val="active1"/>
    <w:basedOn w:val="20"/>
    <w:qFormat/>
    <w:uiPriority w:val="0"/>
    <w:rPr>
      <w:color w:val="FFFFFF"/>
      <w:shd w:val="clear" w:color="auto" w:fill="006DCC"/>
    </w:rPr>
  </w:style>
  <w:style w:type="character" w:customStyle="1" w:styleId="52">
    <w:name w:val="badge56"/>
    <w:basedOn w:val="20"/>
    <w:qFormat/>
    <w:uiPriority w:val="0"/>
    <w:rPr>
      <w:b/>
      <w:color w:val="FFFFFF"/>
      <w:sz w:val="24"/>
      <w:szCs w:val="24"/>
      <w:shd w:val="clear" w:color="auto" w:fill="001F3F"/>
    </w:rPr>
  </w:style>
  <w:style w:type="character" w:customStyle="1" w:styleId="53">
    <w:name w:val="hover14"/>
    <w:basedOn w:val="20"/>
    <w:qFormat/>
    <w:uiPriority w:val="0"/>
    <w:rPr>
      <w:shd w:val="clear" w:color="auto" w:fill="EEEEEE"/>
    </w:rPr>
  </w:style>
  <w:style w:type="paragraph" w:customStyle="1" w:styleId="54">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5">
    <w:name w:val="hover15"/>
    <w:basedOn w:val="20"/>
    <w:qFormat/>
    <w:uiPriority w:val="0"/>
    <w:rPr>
      <w:shd w:val="clear" w:color="auto" w:fill="EEEEEE"/>
    </w:rPr>
  </w:style>
  <w:style w:type="paragraph" w:customStyle="1" w:styleId="56">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7">
    <w:name w:val="hover"/>
    <w:basedOn w:val="20"/>
    <w:qFormat/>
    <w:uiPriority w:val="0"/>
    <w:rPr>
      <w:shd w:val="clear" w:color="auto" w:fill="EEEEEE"/>
    </w:rPr>
  </w:style>
  <w:style w:type="paragraph" w:customStyle="1" w:styleId="58">
    <w:name w:val="TAL"/>
    <w:basedOn w:val="1"/>
    <w:qFormat/>
    <w:uiPriority w:val="0"/>
    <w:pPr>
      <w:keepNext/>
      <w:keepLines/>
      <w:spacing w:after="0"/>
    </w:pPr>
    <w:rPr>
      <w:rFonts w:ascii="Arial" w:hAnsi="Arial"/>
      <w:sz w:val="18"/>
    </w:rPr>
  </w:style>
  <w:style w:type="character" w:customStyle="1" w:styleId="59">
    <w:name w:val="badge55"/>
    <w:basedOn w:val="20"/>
    <w:qFormat/>
    <w:uiPriority w:val="0"/>
    <w:rPr>
      <w:b/>
      <w:color w:val="FFFFFF"/>
      <w:sz w:val="24"/>
      <w:szCs w:val="24"/>
      <w:shd w:val="clear" w:color="auto" w:fill="001F3F"/>
    </w:rPr>
  </w:style>
  <w:style w:type="character" w:customStyle="1" w:styleId="60">
    <w:name w:val="active"/>
    <w:basedOn w:val="20"/>
    <w:qFormat/>
    <w:uiPriority w:val="0"/>
    <w:rPr>
      <w:color w:val="FFFFFF"/>
      <w:shd w:val="clear" w:color="auto" w:fill="006DCC"/>
    </w:rPr>
  </w:style>
  <w:style w:type="character" w:customStyle="1" w:styleId="61">
    <w:name w:val="标题 4 Char"/>
    <w:link w:val="6"/>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F6C3-2BF3-44E0-8B4E-5247F93509FC}">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1436</Words>
  <Characters>7022</Characters>
  <Lines>1</Lines>
  <Paragraphs>1</Paragraphs>
  <TotalTime>31</TotalTime>
  <ScaleCrop>false</ScaleCrop>
  <LinksUpToDate>false</LinksUpToDate>
  <CharactersWithSpaces>8422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sha.wang</dc:creator>
  <cp:lastModifiedBy>xingya.shen</cp:lastModifiedBy>
  <dcterms:modified xsi:type="dcterms:W3CDTF">2021-11-05T09:50:54Z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